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BCDD" w14:textId="142B655F" w:rsidR="00100300" w:rsidRDefault="00613C6D" w:rsidP="004D1920">
      <w:pPr>
        <w:jc w:val="center"/>
        <w:rPr>
          <w:rFonts w:ascii="Arial" w:hAnsi="Arial" w:cs="Arial"/>
          <w:b/>
          <w:color w:val="000000"/>
          <w:sz w:val="22"/>
          <w:szCs w:val="22"/>
        </w:rPr>
      </w:pPr>
      <w:r>
        <w:rPr>
          <w:rFonts w:ascii="Arial" w:hAnsi="Arial" w:cs="Arial"/>
          <w:b/>
          <w:i/>
          <w:color w:val="000000"/>
          <w:sz w:val="22"/>
          <w:szCs w:val="22"/>
        </w:rPr>
        <w:t>Carex limosa</w:t>
      </w:r>
      <w:r w:rsidR="00100300" w:rsidRPr="00BE4BF2">
        <w:rPr>
          <w:rFonts w:ascii="Arial" w:hAnsi="Arial" w:cs="Arial"/>
          <w:b/>
          <w:color w:val="000000"/>
          <w:sz w:val="22"/>
          <w:szCs w:val="22"/>
        </w:rPr>
        <w:t xml:space="preserve"> </w:t>
      </w:r>
      <w:r>
        <w:rPr>
          <w:rFonts w:ascii="Arial" w:hAnsi="Arial" w:cs="Arial"/>
          <w:b/>
          <w:color w:val="000000"/>
          <w:sz w:val="22"/>
          <w:szCs w:val="22"/>
        </w:rPr>
        <w:t>Linnaeus</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Pr>
          <w:rFonts w:ascii="Arial" w:hAnsi="Arial" w:cs="Arial"/>
          <w:b/>
          <w:color w:val="000000"/>
          <w:sz w:val="22"/>
          <w:szCs w:val="22"/>
        </w:rPr>
        <w:t>mud sedge</w:t>
      </w:r>
    </w:p>
    <w:p w14:paraId="61572E8B" w14:textId="0CC9A42D" w:rsidR="00100300" w:rsidRDefault="00613C6D" w:rsidP="00100300">
      <w:pPr>
        <w:jc w:val="center"/>
        <w:rPr>
          <w:rFonts w:ascii="Arial" w:hAnsi="Arial" w:cs="Arial"/>
          <w:b/>
          <w:color w:val="000000"/>
          <w:sz w:val="22"/>
          <w:szCs w:val="22"/>
        </w:rPr>
      </w:pPr>
      <w:bookmarkStart w:id="0" w:name="_Hlk26782393"/>
      <w:r>
        <w:rPr>
          <w:rFonts w:ascii="Arial" w:hAnsi="Arial" w:cs="Arial"/>
          <w:b/>
          <w:color w:val="000000"/>
          <w:sz w:val="22"/>
          <w:szCs w:val="22"/>
        </w:rPr>
        <w:t>Cyperaceae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sedge</w:t>
      </w:r>
      <w:r w:rsidR="004D1920" w:rsidRPr="00BE4BF2">
        <w:rPr>
          <w:rFonts w:ascii="Arial" w:hAnsi="Arial" w:cs="Arial"/>
          <w:b/>
          <w:color w:val="000000"/>
          <w:sz w:val="22"/>
          <w:szCs w:val="22"/>
        </w:rPr>
        <w:t xml:space="preserve"> family</w:t>
      </w:r>
    </w:p>
    <w:p w14:paraId="68A1768A" w14:textId="07898E84"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613C6D">
        <w:rPr>
          <w:rFonts w:ascii="Arial" w:hAnsi="Arial" w:cs="Arial"/>
          <w:color w:val="000000"/>
          <w:sz w:val="22"/>
          <w:szCs w:val="22"/>
        </w:rPr>
        <w:t>Derek Antonelli</w:t>
      </w:r>
      <w:r w:rsidRPr="0068152C">
        <w:rPr>
          <w:rFonts w:ascii="Arial" w:hAnsi="Arial" w:cs="Arial"/>
          <w:color w:val="000000"/>
          <w:sz w:val="22"/>
          <w:szCs w:val="22"/>
        </w:rPr>
        <w:t xml:space="preserve">, </w:t>
      </w:r>
      <w:r w:rsidR="00613C6D">
        <w:rPr>
          <w:rFonts w:ascii="Arial" w:hAnsi="Arial" w:cs="Arial"/>
          <w:color w:val="000000"/>
          <w:sz w:val="22"/>
          <w:szCs w:val="22"/>
        </w:rPr>
        <w:t>December 12, 2021</w:t>
      </w:r>
    </w:p>
    <w:p w14:paraId="3F17DFC4" w14:textId="5AE8FFE2"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Recommended </w:t>
      </w:r>
      <w:r w:rsidR="00613C6D">
        <w:rPr>
          <w:rFonts w:ascii="Arial" w:hAnsi="Arial" w:cs="Arial"/>
          <w:color w:val="000000"/>
          <w:sz w:val="22"/>
          <w:szCs w:val="22"/>
        </w:rPr>
        <w:t>S3S4</w:t>
      </w:r>
      <w:r>
        <w:rPr>
          <w:rFonts w:ascii="Arial" w:hAnsi="Arial" w:cs="Arial"/>
          <w:color w:val="000000"/>
          <w:sz w:val="22"/>
          <w:szCs w:val="22"/>
        </w:rPr>
        <w:t xml:space="preserve"> by Rare Plant Working Group </w:t>
      </w:r>
      <w:r w:rsidR="00613C6D">
        <w:rPr>
          <w:rFonts w:ascii="Arial" w:hAnsi="Arial" w:cs="Arial"/>
          <w:color w:val="000000"/>
          <w:sz w:val="22"/>
          <w:szCs w:val="22"/>
        </w:rPr>
        <w:t>on 2021/12/14</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66EB53F1"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613C6D">
        <w:rPr>
          <w:rFonts w:ascii="Arial" w:hAnsi="Arial" w:cs="Arial"/>
          <w:color w:val="000000"/>
          <w:sz w:val="22"/>
          <w:szCs w:val="22"/>
        </w:rPr>
        <w:t xml:space="preserve">  G5, Idaho SNR.  Other ranks: OR SNR, WA SNR, BC S5, MT S3S4, NV SNR, UT S3?, WY S3</w:t>
      </w:r>
      <w:r w:rsidR="00100300" w:rsidRPr="00BE4BF2">
        <w:rPr>
          <w:rFonts w:ascii="Arial" w:hAnsi="Arial" w:cs="Arial"/>
          <w:color w:val="000000"/>
          <w:sz w:val="22"/>
          <w:szCs w:val="22"/>
        </w:rPr>
        <w:tab/>
      </w:r>
    </w:p>
    <w:p w14:paraId="0BE24194" w14:textId="1D8EE3CE"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100300" w:rsidRPr="00BE4BF2">
        <w:rPr>
          <w:rFonts w:ascii="Arial" w:hAnsi="Arial" w:cs="Arial"/>
          <w:color w:val="000000"/>
          <w:sz w:val="22"/>
          <w:szCs w:val="22"/>
        </w:rPr>
        <w:t>:</w:t>
      </w:r>
      <w:r w:rsidR="00613C6D">
        <w:rPr>
          <w:rFonts w:ascii="Arial" w:hAnsi="Arial" w:cs="Arial"/>
          <w:color w:val="000000"/>
          <w:sz w:val="22"/>
          <w:szCs w:val="22"/>
        </w:rPr>
        <w:t xml:space="preserve"> Not listed</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01FA82E4" w14:textId="506CFC31" w:rsidR="00100300" w:rsidRPr="00BE4BF2" w:rsidRDefault="00613C6D" w:rsidP="00100300">
      <w:pPr>
        <w:outlineLvl w:val="0"/>
        <w:rPr>
          <w:rFonts w:ascii="Arial" w:hAnsi="Arial" w:cs="Arial"/>
          <w:color w:val="000000"/>
          <w:sz w:val="22"/>
          <w:szCs w:val="22"/>
        </w:rPr>
      </w:pPr>
      <w:r>
        <w:rPr>
          <w:rFonts w:ascii="Arial" w:hAnsi="Arial" w:cs="Arial"/>
          <w:color w:val="000000"/>
          <w:sz w:val="22"/>
          <w:szCs w:val="22"/>
        </w:rPr>
        <w:t>BLM:  Not listed</w:t>
      </w:r>
    </w:p>
    <w:p w14:paraId="027C1A2E" w14:textId="0013B69A"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00613C6D">
        <w:rPr>
          <w:rFonts w:ascii="Arial" w:hAnsi="Arial" w:cs="Arial"/>
          <w:color w:val="000000"/>
          <w:sz w:val="22"/>
          <w:szCs w:val="22"/>
        </w:rPr>
        <w:t>Not listed</w:t>
      </w:r>
      <w:r w:rsidRPr="00BE4BF2">
        <w:rPr>
          <w:rFonts w:ascii="Arial" w:hAnsi="Arial" w:cs="Arial"/>
          <w:color w:val="000000"/>
          <w:sz w:val="22"/>
          <w:szCs w:val="22"/>
        </w:rPr>
        <w:tab/>
      </w:r>
    </w:p>
    <w:p w14:paraId="6E0516C6" w14:textId="2D8F7122"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613C6D">
        <w:rPr>
          <w:rFonts w:ascii="Arial" w:hAnsi="Arial" w:cs="Arial"/>
          <w:color w:val="000000"/>
          <w:sz w:val="22"/>
          <w:szCs w:val="22"/>
        </w:rPr>
        <w:t>Not listed</w:t>
      </w:r>
    </w:p>
    <w:p w14:paraId="5447A661" w14:textId="5A9346C3" w:rsidR="00100300" w:rsidRPr="00BE4BF2" w:rsidRDefault="00613C6D" w:rsidP="00100300">
      <w:pPr>
        <w:rPr>
          <w:rFonts w:ascii="Arial" w:hAnsi="Arial" w:cs="Arial"/>
          <w:color w:val="000000"/>
          <w:sz w:val="22"/>
          <w:szCs w:val="22"/>
        </w:rPr>
      </w:pPr>
      <w:r>
        <w:rPr>
          <w:rFonts w:ascii="Arial" w:hAnsi="Arial" w:cs="Arial"/>
          <w:color w:val="000000"/>
          <w:sz w:val="22"/>
          <w:szCs w:val="22"/>
        </w:rPr>
        <w:t>FS Reg 6: Not listed</w:t>
      </w:r>
    </w:p>
    <w:p w14:paraId="5BC6C48F" w14:textId="632E9CDD" w:rsidR="00100300" w:rsidRPr="00BE4BF2" w:rsidRDefault="00613C6D"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t>Not listed</w:t>
      </w:r>
    </w:p>
    <w:p w14:paraId="736F7C4F" w14:textId="77777777" w:rsidR="00100300" w:rsidRPr="00BE4BF2" w:rsidRDefault="00100300" w:rsidP="00100300">
      <w:pPr>
        <w:rPr>
          <w:rFonts w:ascii="Arial" w:hAnsi="Arial" w:cs="Arial"/>
          <w:b/>
          <w:color w:val="000000"/>
          <w:sz w:val="22"/>
          <w:szCs w:val="22"/>
        </w:rPr>
      </w:pPr>
    </w:p>
    <w:p w14:paraId="7FC6624F" w14:textId="53BAA873" w:rsidR="00613C6D" w:rsidRPr="00613C6D" w:rsidRDefault="00100300" w:rsidP="00613C6D">
      <w:pPr>
        <w:pStyle w:val="Heading1"/>
        <w:shd w:val="clear" w:color="auto" w:fill="FCFCFE"/>
        <w:spacing w:before="0" w:beforeAutospacing="0" w:after="0" w:afterAutospacing="0" w:line="750" w:lineRule="atLeast"/>
        <w:ind w:right="150"/>
        <w:rPr>
          <w:rFonts w:ascii="Arial" w:hAnsi="Arial" w:cs="Arial"/>
          <w:i/>
          <w:iCs/>
          <w:color w:val="4B3321"/>
          <w:sz w:val="22"/>
          <w:szCs w:val="22"/>
        </w:rPr>
      </w:pPr>
      <w:r w:rsidRPr="002E6F9A">
        <w:rPr>
          <w:rFonts w:ascii="Arial" w:hAnsi="Arial" w:cs="Arial"/>
          <w:color w:val="000000"/>
          <w:sz w:val="22"/>
          <w:szCs w:val="22"/>
          <w:u w:val="single"/>
        </w:rPr>
        <w:t>Taxonomy</w:t>
      </w:r>
      <w:r w:rsidRPr="00BE4BF2">
        <w:rPr>
          <w:rFonts w:ascii="Arial" w:hAnsi="Arial" w:cs="Arial"/>
          <w:color w:val="000000"/>
          <w:sz w:val="22"/>
          <w:szCs w:val="22"/>
        </w:rPr>
        <w:t xml:space="preserve">:  </w:t>
      </w:r>
      <w:r w:rsidR="00613C6D" w:rsidRPr="00613C6D">
        <w:rPr>
          <w:rFonts w:ascii="Arial" w:hAnsi="Arial" w:cs="Arial"/>
          <w:b w:val="0"/>
          <w:bCs w:val="0"/>
          <w:color w:val="4B3321"/>
          <w:sz w:val="22"/>
          <w:szCs w:val="22"/>
        </w:rPr>
        <w:t>Carex limosa</w:t>
      </w:r>
      <w:r w:rsidR="00613C6D">
        <w:rPr>
          <w:rFonts w:ascii="Arial" w:hAnsi="Arial" w:cs="Arial"/>
          <w:b w:val="0"/>
          <w:bCs w:val="0"/>
          <w:color w:val="4B3321"/>
          <w:sz w:val="22"/>
          <w:szCs w:val="22"/>
        </w:rPr>
        <w:t xml:space="preserve"> </w:t>
      </w:r>
      <w:r w:rsidR="00613C6D" w:rsidRPr="00613C6D">
        <w:rPr>
          <w:rFonts w:ascii="Arial" w:hAnsi="Arial" w:cs="Arial"/>
          <w:b w:val="0"/>
          <w:color w:val="4B3321"/>
          <w:sz w:val="22"/>
          <w:szCs w:val="22"/>
        </w:rPr>
        <w:t>Linnaeus</w:t>
      </w:r>
      <w:r w:rsidR="00613C6D">
        <w:rPr>
          <w:rFonts w:ascii="Arial" w:hAnsi="Arial" w:cs="Arial"/>
          <w:b w:val="0"/>
          <w:color w:val="4B3321"/>
          <w:sz w:val="22"/>
          <w:szCs w:val="22"/>
        </w:rPr>
        <w:t xml:space="preserve">, </w:t>
      </w:r>
      <w:r w:rsidR="00613C6D" w:rsidRPr="00613C6D">
        <w:rPr>
          <w:rFonts w:ascii="Arial" w:hAnsi="Arial" w:cs="Arial"/>
          <w:b w:val="0"/>
          <w:i/>
          <w:iCs/>
          <w:color w:val="4B3321"/>
          <w:sz w:val="22"/>
          <w:szCs w:val="22"/>
        </w:rPr>
        <w:t>Sp. Pl. 2: 977. 1753.</w:t>
      </w:r>
    </w:p>
    <w:p w14:paraId="1700E527" w14:textId="24D9A3DF" w:rsidR="00100300" w:rsidRDefault="00100300" w:rsidP="00100300">
      <w:pPr>
        <w:outlineLvl w:val="0"/>
        <w:rPr>
          <w:rFonts w:ascii="Arial" w:hAnsi="Arial" w:cs="Arial"/>
          <w:color w:val="000000"/>
          <w:sz w:val="22"/>
          <w:szCs w:val="22"/>
        </w:rPr>
      </w:pPr>
    </w:p>
    <w:p w14:paraId="1863C5CA" w14:textId="77777777" w:rsidR="002E6F9A" w:rsidRDefault="002E6F9A" w:rsidP="00100300">
      <w:pPr>
        <w:outlineLvl w:val="0"/>
        <w:rPr>
          <w:rFonts w:ascii="Arial" w:hAnsi="Arial" w:cs="Arial"/>
          <w:color w:val="000000"/>
          <w:sz w:val="22"/>
          <w:szCs w:val="22"/>
        </w:rPr>
      </w:pPr>
    </w:p>
    <w:p w14:paraId="46A787D6" w14:textId="77777777"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p>
    <w:p w14:paraId="2412F216" w14:textId="0137E01F" w:rsidR="002E6F9A" w:rsidRDefault="002E6F9A" w:rsidP="00100300">
      <w:pPr>
        <w:outlineLvl w:val="0"/>
        <w:rPr>
          <w:rFonts w:ascii="Arial" w:hAnsi="Arial" w:cs="Arial"/>
          <w:i/>
          <w:color w:val="000000"/>
          <w:sz w:val="22"/>
          <w:szCs w:val="22"/>
        </w:rPr>
      </w:pPr>
    </w:p>
    <w:p w14:paraId="579DC34D" w14:textId="43EE1F24" w:rsidR="00E53A5F" w:rsidRPr="007E0C3A" w:rsidRDefault="00E53A5F" w:rsidP="00100300">
      <w:pPr>
        <w:outlineLvl w:val="0"/>
        <w:rPr>
          <w:rFonts w:ascii="Arial" w:hAnsi="Arial" w:cs="Arial"/>
          <w:sz w:val="22"/>
          <w:szCs w:val="22"/>
        </w:rPr>
      </w:pPr>
      <w:r w:rsidRPr="007E0C3A">
        <w:rPr>
          <w:rFonts w:ascii="Arial" w:hAnsi="Arial" w:cs="Arial"/>
          <w:i/>
          <w:sz w:val="22"/>
          <w:szCs w:val="22"/>
        </w:rPr>
        <w:t>Other Subspecies/Varieties</w:t>
      </w:r>
      <w:r w:rsidR="00613C6D" w:rsidRPr="007F4AB0">
        <w:rPr>
          <w:rFonts w:ascii="Arial" w:hAnsi="Arial" w:cs="Arial"/>
          <w:sz w:val="22"/>
          <w:szCs w:val="22"/>
        </w:rPr>
        <w:t>:</w:t>
      </w:r>
      <w:r w:rsidRPr="007F4AB0">
        <w:rPr>
          <w:rFonts w:ascii="Arial" w:hAnsi="Arial" w:cs="Arial"/>
          <w:sz w:val="22"/>
          <w:szCs w:val="22"/>
        </w:rPr>
        <w:t xml:space="preserve"> </w:t>
      </w:r>
      <w:r w:rsidR="00613C6D" w:rsidRPr="007F4AB0">
        <w:rPr>
          <w:rFonts w:ascii="Arial" w:hAnsi="Arial" w:cs="Arial"/>
          <w:sz w:val="22"/>
          <w:szCs w:val="22"/>
        </w:rPr>
        <w:t>None</w:t>
      </w:r>
    </w:p>
    <w:p w14:paraId="54D98051" w14:textId="77777777" w:rsidR="00E53A5F" w:rsidRPr="007E0C3A" w:rsidRDefault="00E53A5F" w:rsidP="00100300">
      <w:pPr>
        <w:outlineLvl w:val="0"/>
        <w:rPr>
          <w:rFonts w:ascii="Arial" w:hAnsi="Arial" w:cs="Arial"/>
          <w:i/>
          <w:sz w:val="22"/>
          <w:szCs w:val="22"/>
        </w:rPr>
      </w:pPr>
    </w:p>
    <w:p w14:paraId="05DE0B90" w14:textId="00046DCE"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68E4AAAB"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7F4AB0">
        <w:rPr>
          <w:rFonts w:ascii="Arial" w:hAnsi="Arial" w:cs="Arial"/>
          <w:color w:val="000000"/>
          <w:sz w:val="22"/>
          <w:szCs w:val="22"/>
        </w:rPr>
        <w:t>Flora of the Pacific Northwest, Flora of North America, Field Guide to Intermountain Sedges, Field Guide to the Sedge of the Pacific Northwest</w:t>
      </w:r>
    </w:p>
    <w:p w14:paraId="3C731734" w14:textId="77777777" w:rsidR="00231DFF" w:rsidRPr="00ED0361" w:rsidRDefault="00231DFF" w:rsidP="00100300">
      <w:pPr>
        <w:outlineLvl w:val="0"/>
        <w:rPr>
          <w:rFonts w:ascii="Arial" w:hAnsi="Arial" w:cs="Arial"/>
          <w:color w:val="000000"/>
          <w:sz w:val="22"/>
          <w:szCs w:val="22"/>
        </w:rPr>
      </w:pPr>
    </w:p>
    <w:p w14:paraId="18922388" w14:textId="31788B3F" w:rsidR="00100300" w:rsidRPr="007F4AB0" w:rsidRDefault="002E6F9A" w:rsidP="007F4AB0">
      <w:pPr>
        <w:outlineLvl w:val="0"/>
        <w:rPr>
          <w:rFonts w:ascii="Arial" w:hAnsi="Arial" w:cs="Arial"/>
          <w:color w:val="4B3321"/>
          <w:sz w:val="22"/>
          <w:szCs w:val="22"/>
          <w:shd w:val="clear" w:color="auto" w:fill="FCFCFE"/>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7F4AB0" w:rsidRPr="007F4AB0">
        <w:rPr>
          <w:rFonts w:ascii="Arial" w:hAnsi="Arial" w:cs="Arial"/>
          <w:b/>
          <w:bCs/>
          <w:color w:val="4B3321"/>
          <w:sz w:val="22"/>
          <w:szCs w:val="22"/>
          <w:shd w:val="clear" w:color="auto" w:fill="FCFCFE"/>
        </w:rPr>
        <w:t>Culms </w:t>
      </w:r>
      <w:r w:rsidR="007F4AB0" w:rsidRPr="007F4AB0">
        <w:rPr>
          <w:rFonts w:ascii="Arial" w:hAnsi="Arial" w:cs="Arial"/>
          <w:color w:val="4B3321"/>
          <w:sz w:val="22"/>
          <w:szCs w:val="22"/>
          <w:shd w:val="clear" w:color="auto" w:fill="FCFCFE"/>
        </w:rPr>
        <w:t>usually aphyllopodic, without dead leaf remains at base, 20–60 cm. </w:t>
      </w:r>
      <w:r w:rsidR="007F4AB0" w:rsidRPr="007F4AB0">
        <w:rPr>
          <w:rFonts w:ascii="Arial" w:hAnsi="Arial" w:cs="Arial"/>
          <w:b/>
          <w:bCs/>
          <w:color w:val="4B3321"/>
          <w:sz w:val="22"/>
          <w:szCs w:val="22"/>
          <w:shd w:val="clear" w:color="auto" w:fill="FCFCFE"/>
        </w:rPr>
        <w:t>Leaf</w:t>
      </w:r>
      <w:r w:rsidR="007F4AB0" w:rsidRPr="007F4AB0">
        <w:rPr>
          <w:rFonts w:ascii="Arial" w:hAnsi="Arial" w:cs="Arial"/>
          <w:color w:val="4B3321"/>
          <w:sz w:val="22"/>
          <w:szCs w:val="22"/>
          <w:shd w:val="clear" w:color="auto" w:fill="FCFCFE"/>
        </w:rPr>
        <w:t> blades 1–2.5 mm wide, margins involute, scabrid. </w:t>
      </w:r>
      <w:r w:rsidR="007F4AB0" w:rsidRPr="007F4AB0">
        <w:rPr>
          <w:rFonts w:ascii="Arial" w:hAnsi="Arial" w:cs="Arial"/>
          <w:b/>
          <w:bCs/>
          <w:color w:val="4B3321"/>
          <w:sz w:val="22"/>
          <w:szCs w:val="22"/>
          <w:shd w:val="clear" w:color="auto" w:fill="FCFCFE"/>
        </w:rPr>
        <w:t>Inflorescences</w:t>
      </w:r>
      <w:r w:rsidR="007F4AB0" w:rsidRPr="007F4AB0">
        <w:rPr>
          <w:rFonts w:ascii="Arial" w:hAnsi="Arial" w:cs="Arial"/>
          <w:color w:val="4B3321"/>
          <w:sz w:val="22"/>
          <w:szCs w:val="22"/>
          <w:shd w:val="clear" w:color="auto" w:fill="FCFCFE"/>
        </w:rPr>
        <w:t>: proximal bracts 2–6 cm, shorter than inflorescences; lateral spikes sometimes androgynous, 6–20 × 4–8 mm, with 8–30 perigynia; terminal spikes 7–35 × 1.5–2.5(–3) mm. </w:t>
      </w:r>
      <w:r w:rsidR="007F4AB0" w:rsidRPr="007F4AB0">
        <w:rPr>
          <w:rFonts w:ascii="Arial" w:hAnsi="Arial" w:cs="Arial"/>
          <w:b/>
          <w:bCs/>
          <w:color w:val="4B3321"/>
          <w:sz w:val="22"/>
          <w:szCs w:val="22"/>
          <w:shd w:val="clear" w:color="auto" w:fill="FCFCFE"/>
        </w:rPr>
        <w:t>Pistillate</w:t>
      </w:r>
      <w:r w:rsidR="007F4AB0" w:rsidRPr="007F4AB0">
        <w:rPr>
          <w:rFonts w:ascii="Arial" w:hAnsi="Arial" w:cs="Arial"/>
          <w:color w:val="4B3321"/>
          <w:sz w:val="22"/>
          <w:szCs w:val="22"/>
          <w:shd w:val="clear" w:color="auto" w:fill="FCFCFE"/>
        </w:rPr>
        <w:t> scales ovate to ovate-circular, 3–5.5 × 2–3.4 mm, wider and as long as or slightly longer than perigynia, apex obtuse to subacute, sometimes mucronate. </w:t>
      </w:r>
      <w:r w:rsidR="007F4AB0" w:rsidRPr="007F4AB0">
        <w:rPr>
          <w:rFonts w:ascii="Arial" w:hAnsi="Arial" w:cs="Arial"/>
          <w:b/>
          <w:bCs/>
          <w:color w:val="4B3321"/>
          <w:sz w:val="22"/>
          <w:szCs w:val="22"/>
          <w:shd w:val="clear" w:color="auto" w:fill="FCFCFE"/>
        </w:rPr>
        <w:t>Staminate</w:t>
      </w:r>
      <w:r w:rsidR="007F4AB0" w:rsidRPr="007F4AB0">
        <w:rPr>
          <w:rFonts w:ascii="Arial" w:hAnsi="Arial" w:cs="Arial"/>
          <w:color w:val="4B3321"/>
          <w:sz w:val="22"/>
          <w:szCs w:val="22"/>
          <w:shd w:val="clear" w:color="auto" w:fill="FCFCFE"/>
        </w:rPr>
        <w:t> scales obovate, 3–4.5 × 1.4–1.6 mm, apex obtuse, sometimes mucronate. </w:t>
      </w:r>
      <w:r w:rsidR="007F4AB0" w:rsidRPr="007F4AB0">
        <w:rPr>
          <w:rFonts w:ascii="Arial" w:hAnsi="Arial" w:cs="Arial"/>
          <w:b/>
          <w:bCs/>
          <w:color w:val="4B3321"/>
          <w:sz w:val="22"/>
          <w:szCs w:val="22"/>
          <w:shd w:val="clear" w:color="auto" w:fill="FCFCFE"/>
        </w:rPr>
        <w:t>Anthers</w:t>
      </w:r>
      <w:r w:rsidR="007F4AB0" w:rsidRPr="007F4AB0">
        <w:rPr>
          <w:rFonts w:ascii="Arial" w:hAnsi="Arial" w:cs="Arial"/>
          <w:color w:val="4B3321"/>
          <w:sz w:val="22"/>
          <w:szCs w:val="22"/>
          <w:shd w:val="clear" w:color="auto" w:fill="FCFCFE"/>
        </w:rPr>
        <w:t> 2–3 mm. </w:t>
      </w:r>
      <w:r w:rsidR="007F4AB0" w:rsidRPr="007F4AB0">
        <w:rPr>
          <w:rFonts w:ascii="Arial" w:hAnsi="Arial" w:cs="Arial"/>
          <w:b/>
          <w:bCs/>
          <w:color w:val="4B3321"/>
          <w:sz w:val="22"/>
          <w:szCs w:val="22"/>
          <w:shd w:val="clear" w:color="auto" w:fill="FCFCFE"/>
        </w:rPr>
        <w:t>Perigynia</w:t>
      </w:r>
      <w:r w:rsidR="007F4AB0" w:rsidRPr="007F4AB0">
        <w:rPr>
          <w:rFonts w:ascii="Arial" w:hAnsi="Arial" w:cs="Arial"/>
          <w:color w:val="4B3321"/>
          <w:sz w:val="22"/>
          <w:szCs w:val="22"/>
          <w:shd w:val="clear" w:color="auto" w:fill="FCFCFE"/>
        </w:rPr>
        <w:t> 2.5–4 × 1.8–2.6 mm, apex rounded; beak 0.1–0.5 mm.</w:t>
      </w:r>
    </w:p>
    <w:p w14:paraId="7882C8C0" w14:textId="77777777" w:rsidR="007F4AB0" w:rsidRPr="00BE4BF2" w:rsidRDefault="007F4AB0" w:rsidP="007F4AB0">
      <w:pPr>
        <w:outlineLvl w:val="0"/>
        <w:rPr>
          <w:rFonts w:ascii="Arial" w:hAnsi="Arial" w:cs="Arial"/>
          <w:color w:val="000000"/>
          <w:sz w:val="22"/>
          <w:szCs w:val="22"/>
        </w:rPr>
      </w:pPr>
    </w:p>
    <w:p w14:paraId="3969DB3E" w14:textId="7269DB5E"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w:t>
      </w:r>
      <w:r w:rsidR="007F4AB0">
        <w:rPr>
          <w:rFonts w:ascii="Arial" w:hAnsi="Arial" w:cs="Arial"/>
          <w:color w:val="000000"/>
          <w:sz w:val="22"/>
          <w:szCs w:val="22"/>
        </w:rPr>
        <w:t>;</w:t>
      </w:r>
      <w:r w:rsidRPr="00BE4BF2">
        <w:rPr>
          <w:rFonts w:ascii="Arial" w:hAnsi="Arial" w:cs="Arial"/>
          <w:color w:val="000000"/>
          <w:sz w:val="22"/>
          <w:szCs w:val="22"/>
        </w:rPr>
        <w:t xml:space="preserve"> growth form (graminoid); </w:t>
      </w:r>
      <w:r w:rsidR="007F4AB0">
        <w:rPr>
          <w:rFonts w:ascii="Arial" w:hAnsi="Arial" w:cs="Arial"/>
          <w:color w:val="000000"/>
          <w:sz w:val="22"/>
          <w:szCs w:val="22"/>
        </w:rPr>
        <w:t>fruiting (summer)</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10AB49B1"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7F4AB0" w:rsidRPr="007F4AB0">
        <w:rPr>
          <w:rFonts w:ascii="Arial" w:hAnsi="Arial" w:cs="Arial"/>
          <w:i/>
          <w:color w:val="000000"/>
          <w:sz w:val="22"/>
          <w:szCs w:val="22"/>
        </w:rPr>
        <w:t>Carex magellica</w:t>
      </w:r>
      <w:r w:rsidR="007F4AB0">
        <w:rPr>
          <w:rFonts w:ascii="Arial" w:hAnsi="Arial" w:cs="Arial"/>
          <w:color w:val="000000"/>
          <w:sz w:val="22"/>
          <w:szCs w:val="22"/>
        </w:rPr>
        <w:t xml:space="preserve"> ssp. </w:t>
      </w:r>
      <w:r w:rsidR="007F4AB0" w:rsidRPr="007F4AB0">
        <w:rPr>
          <w:rFonts w:ascii="Arial" w:hAnsi="Arial" w:cs="Arial"/>
          <w:i/>
          <w:color w:val="000000"/>
          <w:sz w:val="22"/>
          <w:szCs w:val="22"/>
        </w:rPr>
        <w:t>irrgua</w:t>
      </w:r>
    </w:p>
    <w:p w14:paraId="63E90094" w14:textId="77777777" w:rsidR="00100300" w:rsidRPr="00BE4BF2" w:rsidRDefault="00100300" w:rsidP="00100300">
      <w:pPr>
        <w:rPr>
          <w:rFonts w:ascii="Arial" w:hAnsi="Arial" w:cs="Arial"/>
          <w:color w:val="000000"/>
          <w:sz w:val="22"/>
          <w:szCs w:val="22"/>
        </w:rPr>
      </w:pPr>
    </w:p>
    <w:p w14:paraId="7CC826D9" w14:textId="4C80296A"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7F4AB0" w:rsidRPr="007F4AB0">
        <w:rPr>
          <w:rFonts w:ascii="Arial" w:hAnsi="Arial" w:cs="Arial"/>
          <w:sz w:val="22"/>
          <w:szCs w:val="22"/>
          <w:shd w:val="clear" w:color="auto" w:fill="FCFCFE"/>
        </w:rPr>
        <w:t>Sphagnum bogs, wet meadows, shores; Elevation: 0–2000 m</w:t>
      </w:r>
      <w:r w:rsidR="007F4AB0">
        <w:rPr>
          <w:rFonts w:ascii="Arial" w:hAnsi="Arial" w:cs="Arial"/>
          <w:color w:val="000000"/>
          <w:sz w:val="22"/>
          <w:szCs w:val="22"/>
        </w:rPr>
        <w:t xml:space="preserve"> </w:t>
      </w:r>
    </w:p>
    <w:p w14:paraId="2587410E" w14:textId="77777777" w:rsidR="007C7859" w:rsidRDefault="007C7859" w:rsidP="00100300">
      <w:pPr>
        <w:outlineLvl w:val="0"/>
        <w:rPr>
          <w:rFonts w:ascii="Arial" w:hAnsi="Arial" w:cs="Arial"/>
          <w:b/>
          <w:color w:val="000000"/>
          <w:sz w:val="22"/>
          <w:szCs w:val="22"/>
        </w:rPr>
      </w:pPr>
    </w:p>
    <w:p w14:paraId="50D7710E" w14:textId="2F6561A4" w:rsidR="007C7859" w:rsidRPr="007F4AB0" w:rsidRDefault="007C7859" w:rsidP="007C7859">
      <w:pPr>
        <w:outlineLvl w:val="0"/>
        <w:rPr>
          <w:rFonts w:ascii="Arial" w:hAnsi="Arial" w:cs="Arial"/>
          <w:b/>
          <w:color w:val="000000"/>
          <w:sz w:val="22"/>
          <w:szCs w:val="22"/>
        </w:rPr>
      </w:pPr>
      <w:r w:rsidRPr="00C07F4A">
        <w:rPr>
          <w:rFonts w:ascii="Arial" w:hAnsi="Arial" w:cs="Arial"/>
          <w:b/>
          <w:color w:val="000000"/>
          <w:sz w:val="22"/>
          <w:szCs w:val="22"/>
          <w:u w:val="single"/>
        </w:rPr>
        <w:t>Environmental Specificity</w:t>
      </w:r>
      <w:r w:rsidR="008622CF" w:rsidRPr="007F4AB0">
        <w:rPr>
          <w:rFonts w:ascii="Arial" w:hAnsi="Arial" w:cs="Arial"/>
          <w:b/>
          <w:color w:val="000000"/>
          <w:sz w:val="22"/>
          <w:szCs w:val="22"/>
          <w:vertAlign w:val="superscript"/>
        </w:rPr>
        <w:t>10</w:t>
      </w:r>
      <w:r w:rsidRPr="007F4AB0">
        <w:rPr>
          <w:rFonts w:ascii="Arial" w:hAnsi="Arial" w:cs="Arial"/>
          <w:b/>
          <w:color w:val="000000"/>
          <w:sz w:val="22"/>
          <w:szCs w:val="22"/>
        </w:rPr>
        <w:t>:</w:t>
      </w:r>
      <w:r w:rsidR="00ED0361" w:rsidRPr="007F4AB0">
        <w:rPr>
          <w:rFonts w:ascii="Arial" w:hAnsi="Arial" w:cs="Arial"/>
          <w:b/>
          <w:color w:val="000000"/>
          <w:sz w:val="22"/>
          <w:szCs w:val="22"/>
        </w:rPr>
        <w:t xml:space="preserve">  </w:t>
      </w:r>
      <w:r w:rsidR="007F4AB0" w:rsidRPr="007F4AB0">
        <w:rPr>
          <w:rFonts w:ascii="Arial" w:hAnsi="Arial" w:cs="Arial"/>
          <w:color w:val="000000"/>
          <w:sz w:val="22"/>
          <w:szCs w:val="22"/>
        </w:rPr>
        <w:t>Narrow</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33941421"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7F4AB0">
        <w:rPr>
          <w:rFonts w:ascii="Arial" w:hAnsi="Arial" w:cs="Arial"/>
          <w:color w:val="000000"/>
          <w:sz w:val="22"/>
          <w:szCs w:val="22"/>
        </w:rPr>
        <w:t>Multiple</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09384FEB" w:rsidR="00E232B4" w:rsidRDefault="00E232B4" w:rsidP="00100300">
      <w:pPr>
        <w:rPr>
          <w:rFonts w:ascii="Arial" w:hAnsi="Arial" w:cs="Arial"/>
          <w:color w:val="000000"/>
          <w:sz w:val="22"/>
          <w:szCs w:val="22"/>
        </w:rPr>
      </w:pPr>
      <w:r w:rsidRPr="00C07F4A">
        <w:rPr>
          <w:rFonts w:ascii="Arial" w:hAnsi="Arial" w:cs="Arial"/>
          <w:b/>
          <w:color w:val="000000"/>
          <w:sz w:val="22"/>
          <w:szCs w:val="22"/>
          <w:u w:val="single"/>
        </w:rPr>
        <w:t>Global Range</w:t>
      </w:r>
      <w:r w:rsidRPr="00C07F4A">
        <w:rPr>
          <w:rFonts w:ascii="Arial" w:hAnsi="Arial" w:cs="Arial"/>
          <w:b/>
          <w:color w:val="000000"/>
          <w:sz w:val="22"/>
          <w:szCs w:val="22"/>
        </w:rPr>
        <w:t>:</w:t>
      </w:r>
      <w:r>
        <w:rPr>
          <w:rFonts w:ascii="Arial" w:hAnsi="Arial" w:cs="Arial"/>
          <w:color w:val="000000"/>
          <w:sz w:val="22"/>
          <w:szCs w:val="22"/>
        </w:rPr>
        <w:t xml:space="preserve"> Circumboreal</w:t>
      </w:r>
    </w:p>
    <w:p w14:paraId="25CC2C97" w14:textId="77777777" w:rsidR="00E232B4" w:rsidRDefault="00E232B4" w:rsidP="00100300">
      <w:pPr>
        <w:rPr>
          <w:rFonts w:ascii="Arial" w:hAnsi="Arial" w:cs="Arial"/>
          <w:color w:val="000000"/>
          <w:sz w:val="22"/>
          <w:szCs w:val="22"/>
        </w:rPr>
      </w:pPr>
    </w:p>
    <w:p w14:paraId="7CF965EA" w14:textId="0470E727" w:rsidR="002E6F9A" w:rsidRPr="00C07F4A" w:rsidRDefault="002E6F9A" w:rsidP="00100300">
      <w:pPr>
        <w:rPr>
          <w:rFonts w:ascii="Arial" w:hAnsi="Arial" w:cs="Arial"/>
          <w:b/>
          <w:color w:val="000000"/>
          <w:sz w:val="22"/>
          <w:szCs w:val="22"/>
        </w:rPr>
      </w:pPr>
      <w:r w:rsidRPr="00C07F4A">
        <w:rPr>
          <w:rFonts w:ascii="Arial" w:hAnsi="Arial" w:cs="Arial"/>
          <w:b/>
          <w:color w:val="000000"/>
          <w:sz w:val="22"/>
          <w:szCs w:val="22"/>
          <w:u w:val="single"/>
        </w:rPr>
        <w:t>Range Extent</w:t>
      </w:r>
      <w:r w:rsidR="006B3062" w:rsidRPr="00C07F4A">
        <w:rPr>
          <w:rFonts w:ascii="Arial" w:hAnsi="Arial" w:cs="Arial"/>
          <w:b/>
          <w:color w:val="000000"/>
          <w:sz w:val="22"/>
          <w:szCs w:val="22"/>
          <w:u w:val="single"/>
        </w:rPr>
        <w:t xml:space="preserve"> Descriptor</w:t>
      </w:r>
      <w:r w:rsidRPr="00C07F4A">
        <w:rPr>
          <w:rFonts w:ascii="Arial" w:hAnsi="Arial" w:cs="Arial"/>
          <w:b/>
          <w:color w:val="000000"/>
          <w:sz w:val="22"/>
          <w:szCs w:val="22"/>
        </w:rPr>
        <w:t>:</w:t>
      </w:r>
      <w:r w:rsidR="00ED0361" w:rsidRPr="00C07F4A">
        <w:rPr>
          <w:rFonts w:ascii="Arial" w:hAnsi="Arial" w:cs="Arial"/>
          <w:b/>
          <w:color w:val="000000"/>
          <w:sz w:val="22"/>
          <w:szCs w:val="22"/>
        </w:rPr>
        <w:t xml:space="preserve">  </w:t>
      </w:r>
      <w:r w:rsidR="00C07F4A" w:rsidRPr="00C07F4A">
        <w:rPr>
          <w:rFonts w:ascii="Arial" w:hAnsi="Arial" w:cs="Arial"/>
          <w:color w:val="000000"/>
          <w:sz w:val="22"/>
          <w:szCs w:val="22"/>
        </w:rPr>
        <w:t>Sparse</w:t>
      </w:r>
    </w:p>
    <w:p w14:paraId="55DE7EF9" w14:textId="53B9FA56" w:rsidR="002B3DCE" w:rsidRDefault="002B3DCE" w:rsidP="00100300">
      <w:pPr>
        <w:rPr>
          <w:rFonts w:ascii="Arial" w:hAnsi="Arial" w:cs="Arial"/>
          <w:color w:val="000000"/>
          <w:sz w:val="22"/>
          <w:szCs w:val="22"/>
        </w:rPr>
      </w:pPr>
    </w:p>
    <w:p w14:paraId="20C593F4" w14:textId="126B44B7" w:rsidR="002B3DCE" w:rsidRDefault="002B3DCE" w:rsidP="00100300">
      <w:pPr>
        <w:rPr>
          <w:rFonts w:ascii="Arial" w:hAnsi="Arial" w:cs="Arial"/>
          <w:color w:val="000000"/>
          <w:sz w:val="22"/>
          <w:szCs w:val="22"/>
        </w:rPr>
      </w:pPr>
      <w:r w:rsidRPr="00C07F4A">
        <w:rPr>
          <w:rFonts w:ascii="Arial" w:hAnsi="Arial" w:cs="Arial"/>
          <w:b/>
          <w:color w:val="000000"/>
          <w:sz w:val="22"/>
          <w:szCs w:val="22"/>
          <w:u w:val="single"/>
        </w:rPr>
        <w:t xml:space="preserve">Rank Calculator </w:t>
      </w:r>
      <w:r w:rsidR="00E232B4" w:rsidRPr="00C07F4A">
        <w:rPr>
          <w:rFonts w:ascii="Arial" w:hAnsi="Arial" w:cs="Arial"/>
          <w:b/>
          <w:color w:val="000000"/>
          <w:sz w:val="22"/>
          <w:szCs w:val="22"/>
          <w:u w:val="single"/>
        </w:rPr>
        <w:t xml:space="preserve">Idaho </w:t>
      </w:r>
      <w:r w:rsidRPr="00C07F4A">
        <w:rPr>
          <w:rFonts w:ascii="Arial" w:hAnsi="Arial" w:cs="Arial"/>
          <w:b/>
          <w:color w:val="000000"/>
          <w:sz w:val="22"/>
          <w:szCs w:val="22"/>
          <w:u w:val="single"/>
        </w:rPr>
        <w:t>Range Extent</w:t>
      </w:r>
      <w:r w:rsidRPr="00C07F4A">
        <w:rPr>
          <w:rFonts w:ascii="Arial" w:hAnsi="Arial" w:cs="Arial"/>
          <w:b/>
          <w:color w:val="000000"/>
          <w:sz w:val="22"/>
          <w:szCs w:val="22"/>
        </w:rPr>
        <w:t>:</w:t>
      </w:r>
      <w:r>
        <w:rPr>
          <w:rFonts w:ascii="Arial" w:hAnsi="Arial" w:cs="Arial"/>
          <w:i/>
          <w:color w:val="000000"/>
          <w:sz w:val="22"/>
          <w:szCs w:val="22"/>
        </w:rPr>
        <w:t xml:space="preserve">  </w:t>
      </w:r>
      <w:r w:rsidR="00C07F4A" w:rsidRPr="00C07F4A">
        <w:rPr>
          <w:rFonts w:ascii="Arial" w:hAnsi="Arial" w:cs="Arial"/>
          <w:b/>
          <w:color w:val="000000"/>
          <w:sz w:val="22"/>
          <w:szCs w:val="22"/>
        </w:rPr>
        <w:t>[F]</w:t>
      </w:r>
      <w:r w:rsidR="00C07F4A">
        <w:rPr>
          <w:rFonts w:ascii="Arial" w:hAnsi="Arial" w:cs="Arial"/>
          <w:color w:val="000000"/>
          <w:sz w:val="22"/>
          <w:szCs w:val="22"/>
        </w:rPr>
        <w:t xml:space="preserve"> 93,600 sq km</w:t>
      </w:r>
    </w:p>
    <w:p w14:paraId="3ED7782A" w14:textId="77777777" w:rsidR="00C07F4A" w:rsidRDefault="00C07F4A" w:rsidP="00100300">
      <w:pPr>
        <w:rPr>
          <w:rFonts w:ascii="Arial" w:hAnsi="Arial" w:cs="Arial"/>
          <w:color w:val="000000"/>
          <w:sz w:val="22"/>
          <w:szCs w:val="22"/>
        </w:rPr>
      </w:pPr>
    </w:p>
    <w:p w14:paraId="3837D71B" w14:textId="3E687D04" w:rsidR="00C07F4A" w:rsidRPr="002B3DCE" w:rsidRDefault="00C07F4A" w:rsidP="00100300">
      <w:pPr>
        <w:rPr>
          <w:rFonts w:ascii="Arial" w:hAnsi="Arial" w:cs="Arial"/>
          <w:color w:val="000000"/>
          <w:sz w:val="22"/>
          <w:szCs w:val="22"/>
        </w:rPr>
      </w:pPr>
      <w:r w:rsidRPr="00C07F4A">
        <w:rPr>
          <w:rFonts w:ascii="Arial" w:hAnsi="Arial" w:cs="Arial"/>
          <w:noProof/>
          <w:color w:val="000000"/>
          <w:sz w:val="22"/>
          <w:szCs w:val="22"/>
        </w:rPr>
        <w:drawing>
          <wp:inline distT="0" distB="0" distL="0" distR="0" wp14:anchorId="4990D746" wp14:editId="2D758EB6">
            <wp:extent cx="5943600" cy="5370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943600" cy="5370195"/>
                    </a:xfrm>
                    <a:prstGeom prst="rect">
                      <a:avLst/>
                    </a:prstGeom>
                  </pic:spPr>
                </pic:pic>
              </a:graphicData>
            </a:graphic>
          </wp:inline>
        </w:drawing>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61258806" w:rsidR="002E6F9A" w:rsidRDefault="002E6F9A" w:rsidP="007C7859">
      <w:pPr>
        <w:rPr>
          <w:rFonts w:ascii="Arial" w:hAnsi="Arial" w:cs="Arial"/>
          <w:color w:val="000000"/>
          <w:sz w:val="22"/>
          <w:szCs w:val="22"/>
        </w:rPr>
      </w:pPr>
      <w:r w:rsidRPr="00C07F4A">
        <w:rPr>
          <w:rFonts w:ascii="Arial" w:hAnsi="Arial" w:cs="Arial"/>
          <w:b/>
          <w:color w:val="000000"/>
          <w:sz w:val="22"/>
          <w:szCs w:val="22"/>
          <w:u w:val="single"/>
        </w:rPr>
        <w:t>Area of Occupancy</w:t>
      </w:r>
      <w:r w:rsidRPr="007C7859">
        <w:rPr>
          <w:rFonts w:ascii="Arial" w:hAnsi="Arial" w:cs="Arial"/>
          <w:i/>
          <w:color w:val="000000"/>
          <w:sz w:val="22"/>
          <w:szCs w:val="22"/>
        </w:rPr>
        <w:t>:</w:t>
      </w:r>
      <w:r w:rsidR="00ED0361">
        <w:rPr>
          <w:rFonts w:ascii="Arial" w:hAnsi="Arial" w:cs="Arial"/>
          <w:color w:val="000000"/>
          <w:sz w:val="22"/>
          <w:szCs w:val="22"/>
        </w:rPr>
        <w:t xml:space="preserve">  </w:t>
      </w:r>
      <w:r w:rsidR="00C07F4A" w:rsidRPr="00523932">
        <w:rPr>
          <w:rFonts w:ascii="Arial" w:hAnsi="Arial" w:cs="Arial"/>
          <w:b/>
          <w:color w:val="000000"/>
          <w:sz w:val="22"/>
          <w:szCs w:val="22"/>
        </w:rPr>
        <w:t>[</w:t>
      </w:r>
      <w:r w:rsidR="00523932" w:rsidRPr="00523932">
        <w:rPr>
          <w:rFonts w:ascii="Arial" w:hAnsi="Arial" w:cs="Arial"/>
          <w:b/>
          <w:color w:val="000000"/>
          <w:sz w:val="22"/>
          <w:szCs w:val="22"/>
        </w:rPr>
        <w:t>E</w:t>
      </w:r>
      <w:r w:rsidR="00C07F4A" w:rsidRPr="00523932">
        <w:rPr>
          <w:rFonts w:ascii="Arial" w:hAnsi="Arial" w:cs="Arial"/>
          <w:b/>
          <w:color w:val="000000"/>
          <w:sz w:val="22"/>
          <w:szCs w:val="22"/>
        </w:rPr>
        <w:t>]</w:t>
      </w:r>
      <w:r w:rsidR="00C07F4A">
        <w:rPr>
          <w:rFonts w:ascii="Arial" w:hAnsi="Arial" w:cs="Arial"/>
          <w:color w:val="000000"/>
          <w:sz w:val="22"/>
          <w:szCs w:val="22"/>
        </w:rPr>
        <w:t xml:space="preserve"> 24 4-sq km grid cells.  Twenty-four distinct population locations.</w:t>
      </w:r>
    </w:p>
    <w:p w14:paraId="2B96D2DA" w14:textId="77777777" w:rsidR="008622CF" w:rsidRDefault="008622CF" w:rsidP="007C7859">
      <w:pPr>
        <w:rPr>
          <w:rFonts w:ascii="Arial" w:hAnsi="Arial" w:cs="Arial"/>
          <w:color w:val="000000"/>
          <w:sz w:val="22"/>
          <w:szCs w:val="22"/>
        </w:rPr>
      </w:pPr>
    </w:p>
    <w:p w14:paraId="5423C5BE" w14:textId="39503FF3" w:rsidR="008622CF" w:rsidRPr="00523932" w:rsidRDefault="00523932" w:rsidP="007C7859">
      <w:pPr>
        <w:rPr>
          <w:rFonts w:ascii="Arial" w:hAnsi="Arial" w:cs="Arial"/>
          <w:color w:val="000000"/>
          <w:sz w:val="22"/>
          <w:szCs w:val="22"/>
        </w:rPr>
      </w:pPr>
      <w:r w:rsidRPr="00523932">
        <w:rPr>
          <w:rFonts w:ascii="Arial" w:hAnsi="Arial" w:cs="Arial"/>
          <w:b/>
          <w:color w:val="000000"/>
          <w:sz w:val="22"/>
          <w:szCs w:val="22"/>
          <w:u w:val="single"/>
        </w:rPr>
        <w:t>Idaho Counties</w:t>
      </w:r>
      <w:r w:rsidR="00CE5A96" w:rsidRPr="00523932">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Bonner, Boundary, Custer, Fremont, Idaho, Kootenai, Valley</w:t>
      </w:r>
    </w:p>
    <w:p w14:paraId="6BBA1631" w14:textId="77777777" w:rsidR="00102CC5" w:rsidRDefault="00102CC5" w:rsidP="00100300">
      <w:pPr>
        <w:rPr>
          <w:rFonts w:ascii="Arial" w:hAnsi="Arial" w:cs="Arial"/>
          <w:i/>
          <w:color w:val="000000"/>
          <w:sz w:val="22"/>
          <w:szCs w:val="22"/>
        </w:rPr>
      </w:pPr>
    </w:p>
    <w:p w14:paraId="5CF24285" w14:textId="77777777" w:rsidR="00102CC5" w:rsidRDefault="00102CC5" w:rsidP="00100300">
      <w:pPr>
        <w:rPr>
          <w:rFonts w:ascii="Arial" w:hAnsi="Arial" w:cs="Arial"/>
          <w:i/>
          <w:color w:val="000000"/>
          <w:sz w:val="22"/>
          <w:szCs w:val="22"/>
        </w:rPr>
      </w:pPr>
    </w:p>
    <w:p w14:paraId="54EED7BC" w14:textId="77777777" w:rsidR="00102CC5" w:rsidRDefault="00102CC5" w:rsidP="00100300">
      <w:pPr>
        <w:rPr>
          <w:rFonts w:ascii="Arial" w:hAnsi="Arial" w:cs="Arial"/>
          <w:i/>
          <w:color w:val="000000"/>
          <w:sz w:val="22"/>
          <w:szCs w:val="22"/>
        </w:rPr>
      </w:pPr>
    </w:p>
    <w:p w14:paraId="69D724F4" w14:textId="77777777" w:rsidR="00102CC5" w:rsidRDefault="00102CC5" w:rsidP="00100300">
      <w:pPr>
        <w:rPr>
          <w:rFonts w:ascii="Arial" w:hAnsi="Arial" w:cs="Arial"/>
          <w:i/>
          <w:color w:val="000000"/>
          <w:sz w:val="22"/>
          <w:szCs w:val="22"/>
        </w:rPr>
      </w:pPr>
    </w:p>
    <w:p w14:paraId="7DB1A6CA" w14:textId="77777777" w:rsidR="00102CC5" w:rsidRDefault="00102CC5" w:rsidP="00100300">
      <w:pPr>
        <w:rPr>
          <w:rFonts w:ascii="Arial" w:hAnsi="Arial" w:cs="Arial"/>
          <w:i/>
          <w:color w:val="000000"/>
          <w:sz w:val="22"/>
          <w:szCs w:val="22"/>
        </w:rPr>
      </w:pPr>
    </w:p>
    <w:p w14:paraId="235880C8" w14:textId="77777777" w:rsidR="00102CC5" w:rsidRDefault="00102CC5" w:rsidP="00100300">
      <w:pPr>
        <w:rPr>
          <w:rFonts w:ascii="Arial" w:hAnsi="Arial" w:cs="Arial"/>
          <w:i/>
          <w:color w:val="000000"/>
          <w:sz w:val="22"/>
          <w:szCs w:val="22"/>
        </w:rPr>
      </w:pPr>
    </w:p>
    <w:p w14:paraId="155133A1" w14:textId="77777777" w:rsidR="00102CC5" w:rsidRDefault="00102CC5" w:rsidP="00100300">
      <w:pPr>
        <w:rPr>
          <w:rFonts w:ascii="Arial" w:hAnsi="Arial" w:cs="Arial"/>
          <w:i/>
          <w:color w:val="000000"/>
          <w:sz w:val="22"/>
          <w:szCs w:val="22"/>
        </w:rPr>
      </w:pPr>
    </w:p>
    <w:p w14:paraId="67365917" w14:textId="77777777" w:rsidR="00102CC5" w:rsidRDefault="00102CC5" w:rsidP="00100300">
      <w:pPr>
        <w:rPr>
          <w:rFonts w:ascii="Arial" w:hAnsi="Arial" w:cs="Arial"/>
          <w:i/>
          <w:color w:val="000000"/>
          <w:sz w:val="22"/>
          <w:szCs w:val="22"/>
        </w:rPr>
      </w:pPr>
    </w:p>
    <w:p w14:paraId="2B04AAA3" w14:textId="77777777" w:rsidR="00102CC5" w:rsidRDefault="00102CC5" w:rsidP="00100300">
      <w:pPr>
        <w:rPr>
          <w:rFonts w:ascii="Arial" w:hAnsi="Arial" w:cs="Arial"/>
          <w:i/>
          <w:color w:val="000000"/>
          <w:sz w:val="22"/>
          <w:szCs w:val="22"/>
        </w:rPr>
      </w:pPr>
    </w:p>
    <w:p w14:paraId="6D12FC8A" w14:textId="77777777" w:rsidR="00102CC5" w:rsidRDefault="00102CC5" w:rsidP="00100300">
      <w:pPr>
        <w:rPr>
          <w:rFonts w:ascii="Arial" w:hAnsi="Arial" w:cs="Arial"/>
          <w:i/>
          <w:color w:val="000000"/>
          <w:sz w:val="22"/>
          <w:szCs w:val="22"/>
        </w:rPr>
      </w:pP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220133FA" w:rsidR="002E6F9A" w:rsidRDefault="002E6F9A" w:rsidP="007C7859">
      <w:pPr>
        <w:rPr>
          <w:rFonts w:ascii="Arial" w:hAnsi="Arial" w:cs="Arial"/>
          <w:color w:val="000000"/>
          <w:sz w:val="22"/>
          <w:szCs w:val="22"/>
        </w:rPr>
      </w:pPr>
      <w:r w:rsidRPr="00102CC5">
        <w:rPr>
          <w:rFonts w:ascii="Arial" w:hAnsi="Arial" w:cs="Arial"/>
          <w:b/>
          <w:color w:val="000000"/>
          <w:sz w:val="22"/>
          <w:szCs w:val="22"/>
          <w:u w:val="single"/>
        </w:rPr>
        <w:lastRenderedPageBreak/>
        <w:t>Idaho Specimens</w:t>
      </w:r>
      <w:r w:rsidRPr="00102CC5">
        <w:rPr>
          <w:rFonts w:ascii="Arial" w:hAnsi="Arial" w:cs="Arial"/>
          <w:b/>
          <w:color w:val="000000"/>
          <w:sz w:val="22"/>
          <w:szCs w:val="22"/>
        </w:rPr>
        <w:t>:</w:t>
      </w:r>
      <w:r w:rsidR="00ED0361">
        <w:rPr>
          <w:rFonts w:ascii="Arial" w:hAnsi="Arial" w:cs="Arial"/>
          <w:color w:val="000000"/>
          <w:sz w:val="22"/>
          <w:szCs w:val="22"/>
        </w:rPr>
        <w:t xml:space="preserve">  </w:t>
      </w:r>
      <w:r w:rsidR="00762F11">
        <w:rPr>
          <w:rFonts w:ascii="Arial" w:hAnsi="Arial" w:cs="Arial"/>
          <w:color w:val="000000"/>
          <w:sz w:val="22"/>
          <w:szCs w:val="22"/>
        </w:rPr>
        <w:t>24 distinct population locations</w:t>
      </w:r>
    </w:p>
    <w:p w14:paraId="1EF8EB34" w14:textId="77777777" w:rsidR="00102CC5" w:rsidRDefault="00102CC5" w:rsidP="007C7859">
      <w:pPr>
        <w:rPr>
          <w:rFonts w:ascii="Arial" w:hAnsi="Arial" w:cs="Arial"/>
          <w:sz w:val="22"/>
          <w:szCs w:val="22"/>
        </w:rPr>
      </w:pPr>
    </w:p>
    <w:tbl>
      <w:tblPr>
        <w:tblW w:w="5340" w:type="dxa"/>
        <w:tblInd w:w="108" w:type="dxa"/>
        <w:tblLook w:val="04A0" w:firstRow="1" w:lastRow="0" w:firstColumn="1" w:lastColumn="0" w:noHBand="0" w:noVBand="1"/>
      </w:tblPr>
      <w:tblGrid>
        <w:gridCol w:w="3220"/>
        <w:gridCol w:w="1200"/>
        <w:gridCol w:w="1195"/>
      </w:tblGrid>
      <w:tr w:rsidR="00102CC5" w:rsidRPr="00102CC5" w14:paraId="33477C28" w14:textId="77777777" w:rsidTr="00102CC5">
        <w:trPr>
          <w:trHeight w:val="300"/>
        </w:trPr>
        <w:tc>
          <w:tcPr>
            <w:tcW w:w="4340" w:type="dxa"/>
            <w:gridSpan w:val="2"/>
            <w:tcBorders>
              <w:top w:val="nil"/>
              <w:left w:val="nil"/>
              <w:bottom w:val="nil"/>
              <w:right w:val="nil"/>
            </w:tcBorders>
            <w:shd w:val="clear" w:color="auto" w:fill="auto"/>
            <w:noWrap/>
            <w:vAlign w:val="bottom"/>
            <w:hideMark/>
          </w:tcPr>
          <w:p w14:paraId="05AA8393"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 xml:space="preserve">Idaho Population Locations of </w:t>
            </w:r>
            <w:r w:rsidRPr="00102CC5">
              <w:rPr>
                <w:rFonts w:ascii="Calibri" w:hAnsi="Calibri" w:cs="Calibri"/>
                <w:b/>
                <w:bCs/>
                <w:i/>
                <w:iCs/>
                <w:color w:val="000000"/>
                <w:sz w:val="22"/>
                <w:szCs w:val="22"/>
              </w:rPr>
              <w:t>Carex limosa</w:t>
            </w:r>
          </w:p>
        </w:tc>
        <w:tc>
          <w:tcPr>
            <w:tcW w:w="1000" w:type="dxa"/>
            <w:tcBorders>
              <w:top w:val="nil"/>
              <w:left w:val="nil"/>
              <w:bottom w:val="nil"/>
              <w:right w:val="nil"/>
            </w:tcBorders>
            <w:shd w:val="clear" w:color="auto" w:fill="auto"/>
            <w:noWrap/>
            <w:vAlign w:val="bottom"/>
            <w:hideMark/>
          </w:tcPr>
          <w:p w14:paraId="79866116" w14:textId="77777777" w:rsidR="00102CC5" w:rsidRPr="00102CC5" w:rsidRDefault="00102CC5" w:rsidP="00102CC5">
            <w:pPr>
              <w:rPr>
                <w:rFonts w:ascii="Calibri" w:hAnsi="Calibri" w:cs="Calibri"/>
                <w:b/>
                <w:bCs/>
                <w:color w:val="000000"/>
                <w:szCs w:val="22"/>
              </w:rPr>
            </w:pPr>
          </w:p>
        </w:tc>
      </w:tr>
      <w:tr w:rsidR="00102CC5" w:rsidRPr="00102CC5" w14:paraId="37285C84" w14:textId="77777777" w:rsidTr="00102CC5">
        <w:trPr>
          <w:trHeight w:val="300"/>
        </w:trPr>
        <w:tc>
          <w:tcPr>
            <w:tcW w:w="3220" w:type="dxa"/>
            <w:tcBorders>
              <w:top w:val="nil"/>
              <w:left w:val="nil"/>
              <w:bottom w:val="nil"/>
              <w:right w:val="nil"/>
            </w:tcBorders>
            <w:shd w:val="clear" w:color="auto" w:fill="auto"/>
            <w:noWrap/>
            <w:vAlign w:val="bottom"/>
            <w:hideMark/>
          </w:tcPr>
          <w:p w14:paraId="5872EB6A" w14:textId="77777777" w:rsidR="00102CC5" w:rsidRPr="00102CC5" w:rsidRDefault="00102CC5" w:rsidP="00102CC5">
            <w:pPr>
              <w:jc w:val="center"/>
              <w:rPr>
                <w:sz w:val="20"/>
              </w:rPr>
            </w:pPr>
          </w:p>
        </w:tc>
        <w:tc>
          <w:tcPr>
            <w:tcW w:w="1120" w:type="dxa"/>
            <w:tcBorders>
              <w:top w:val="nil"/>
              <w:left w:val="nil"/>
              <w:bottom w:val="nil"/>
              <w:right w:val="nil"/>
            </w:tcBorders>
            <w:shd w:val="clear" w:color="auto" w:fill="auto"/>
            <w:noWrap/>
            <w:vAlign w:val="bottom"/>
            <w:hideMark/>
          </w:tcPr>
          <w:p w14:paraId="4BBE1607" w14:textId="77777777" w:rsidR="00102CC5" w:rsidRPr="00102CC5" w:rsidRDefault="00102CC5" w:rsidP="00102CC5">
            <w:pPr>
              <w:rPr>
                <w:sz w:val="20"/>
              </w:rPr>
            </w:pPr>
          </w:p>
        </w:tc>
        <w:tc>
          <w:tcPr>
            <w:tcW w:w="1000" w:type="dxa"/>
            <w:tcBorders>
              <w:top w:val="nil"/>
              <w:left w:val="nil"/>
              <w:bottom w:val="nil"/>
              <w:right w:val="nil"/>
            </w:tcBorders>
            <w:shd w:val="clear" w:color="auto" w:fill="auto"/>
            <w:noWrap/>
            <w:vAlign w:val="bottom"/>
            <w:hideMark/>
          </w:tcPr>
          <w:p w14:paraId="565FE02F" w14:textId="77777777" w:rsidR="00102CC5" w:rsidRPr="00102CC5" w:rsidRDefault="00102CC5" w:rsidP="00102CC5">
            <w:pPr>
              <w:jc w:val="center"/>
              <w:rPr>
                <w:sz w:val="20"/>
              </w:rPr>
            </w:pPr>
          </w:p>
        </w:tc>
      </w:tr>
      <w:tr w:rsidR="00102CC5" w:rsidRPr="00102CC5" w14:paraId="0617B8F9" w14:textId="77777777" w:rsidTr="00102CC5">
        <w:trPr>
          <w:trHeight w:val="600"/>
        </w:trPr>
        <w:tc>
          <w:tcPr>
            <w:tcW w:w="3220" w:type="dxa"/>
            <w:tcBorders>
              <w:top w:val="nil"/>
              <w:left w:val="nil"/>
              <w:bottom w:val="nil"/>
              <w:right w:val="nil"/>
            </w:tcBorders>
            <w:shd w:val="clear" w:color="auto" w:fill="auto"/>
            <w:vAlign w:val="bottom"/>
            <w:hideMark/>
          </w:tcPr>
          <w:p w14:paraId="22720DF2"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Location</w:t>
            </w:r>
          </w:p>
        </w:tc>
        <w:tc>
          <w:tcPr>
            <w:tcW w:w="1120" w:type="dxa"/>
            <w:tcBorders>
              <w:top w:val="nil"/>
              <w:left w:val="nil"/>
              <w:bottom w:val="nil"/>
              <w:right w:val="nil"/>
            </w:tcBorders>
            <w:shd w:val="clear" w:color="auto" w:fill="auto"/>
            <w:vAlign w:val="bottom"/>
            <w:hideMark/>
          </w:tcPr>
          <w:p w14:paraId="0C8DB62A" w14:textId="77777777" w:rsidR="00102CC5" w:rsidRPr="00102CC5" w:rsidRDefault="00102CC5" w:rsidP="00102CC5">
            <w:pPr>
              <w:jc w:val="center"/>
              <w:rPr>
                <w:rFonts w:ascii="Calibri" w:hAnsi="Calibri" w:cs="Calibri"/>
                <w:b/>
                <w:bCs/>
                <w:color w:val="000000"/>
                <w:szCs w:val="22"/>
              </w:rPr>
            </w:pPr>
            <w:r w:rsidRPr="00102CC5">
              <w:rPr>
                <w:rFonts w:ascii="Calibri" w:hAnsi="Calibri" w:cs="Calibri"/>
                <w:b/>
                <w:bCs/>
                <w:color w:val="000000"/>
                <w:sz w:val="22"/>
                <w:szCs w:val="22"/>
              </w:rPr>
              <w:t>Herbarium Specimen</w:t>
            </w:r>
          </w:p>
        </w:tc>
        <w:tc>
          <w:tcPr>
            <w:tcW w:w="1000" w:type="dxa"/>
            <w:tcBorders>
              <w:top w:val="nil"/>
              <w:left w:val="nil"/>
              <w:bottom w:val="nil"/>
              <w:right w:val="nil"/>
            </w:tcBorders>
            <w:shd w:val="clear" w:color="auto" w:fill="auto"/>
            <w:vAlign w:val="bottom"/>
            <w:hideMark/>
          </w:tcPr>
          <w:p w14:paraId="3392140B" w14:textId="4277B24D" w:rsidR="00102CC5" w:rsidRPr="00102CC5" w:rsidRDefault="00102CC5" w:rsidP="00102CC5">
            <w:pPr>
              <w:jc w:val="center"/>
              <w:rPr>
                <w:rFonts w:ascii="Calibri" w:hAnsi="Calibri" w:cs="Calibri"/>
                <w:b/>
                <w:bCs/>
                <w:color w:val="000000"/>
                <w:szCs w:val="22"/>
              </w:rPr>
            </w:pPr>
            <w:r w:rsidRPr="00102CC5">
              <w:rPr>
                <w:rFonts w:ascii="Calibri" w:hAnsi="Calibri" w:cs="Calibri"/>
                <w:b/>
                <w:bCs/>
                <w:color w:val="000000"/>
                <w:sz w:val="22"/>
                <w:szCs w:val="22"/>
              </w:rPr>
              <w:t>EO Associate</w:t>
            </w:r>
            <w:r>
              <w:rPr>
                <w:rFonts w:ascii="Calibri" w:hAnsi="Calibri" w:cs="Calibri"/>
                <w:b/>
                <w:bCs/>
                <w:color w:val="000000"/>
                <w:sz w:val="22"/>
                <w:szCs w:val="22"/>
              </w:rPr>
              <w:t>*</w:t>
            </w:r>
          </w:p>
        </w:tc>
      </w:tr>
      <w:tr w:rsidR="00102CC5" w:rsidRPr="00102CC5" w14:paraId="5E2C4DFA" w14:textId="77777777" w:rsidTr="00102CC5">
        <w:trPr>
          <w:trHeight w:val="300"/>
        </w:trPr>
        <w:tc>
          <w:tcPr>
            <w:tcW w:w="3220" w:type="dxa"/>
            <w:tcBorders>
              <w:top w:val="nil"/>
              <w:left w:val="nil"/>
              <w:bottom w:val="nil"/>
              <w:right w:val="nil"/>
            </w:tcBorders>
            <w:shd w:val="clear" w:color="auto" w:fill="auto"/>
            <w:noWrap/>
            <w:vAlign w:val="bottom"/>
            <w:hideMark/>
          </w:tcPr>
          <w:p w14:paraId="571FED2A"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Bonner County</w:t>
            </w:r>
          </w:p>
        </w:tc>
        <w:tc>
          <w:tcPr>
            <w:tcW w:w="1120" w:type="dxa"/>
            <w:tcBorders>
              <w:top w:val="nil"/>
              <w:left w:val="nil"/>
              <w:bottom w:val="nil"/>
              <w:right w:val="nil"/>
            </w:tcBorders>
            <w:shd w:val="clear" w:color="auto" w:fill="auto"/>
            <w:noWrap/>
            <w:vAlign w:val="bottom"/>
            <w:hideMark/>
          </w:tcPr>
          <w:p w14:paraId="7EDA53BF"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18CBD162" w14:textId="77777777" w:rsidR="00102CC5" w:rsidRPr="00102CC5" w:rsidRDefault="00102CC5" w:rsidP="00102CC5">
            <w:pPr>
              <w:jc w:val="center"/>
              <w:rPr>
                <w:sz w:val="20"/>
              </w:rPr>
            </w:pPr>
          </w:p>
        </w:tc>
      </w:tr>
      <w:tr w:rsidR="00102CC5" w:rsidRPr="00102CC5" w14:paraId="09A22CB3" w14:textId="77777777" w:rsidTr="00102CC5">
        <w:trPr>
          <w:trHeight w:val="300"/>
        </w:trPr>
        <w:tc>
          <w:tcPr>
            <w:tcW w:w="3220" w:type="dxa"/>
            <w:tcBorders>
              <w:top w:val="nil"/>
              <w:left w:val="nil"/>
              <w:bottom w:val="nil"/>
              <w:right w:val="nil"/>
            </w:tcBorders>
            <w:shd w:val="clear" w:color="auto" w:fill="auto"/>
            <w:noWrap/>
            <w:vAlign w:val="bottom"/>
            <w:hideMark/>
          </w:tcPr>
          <w:p w14:paraId="64B8648F"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Armsrtrong Meadows</w:t>
            </w:r>
          </w:p>
        </w:tc>
        <w:tc>
          <w:tcPr>
            <w:tcW w:w="1120" w:type="dxa"/>
            <w:tcBorders>
              <w:top w:val="nil"/>
              <w:left w:val="nil"/>
              <w:bottom w:val="nil"/>
              <w:right w:val="nil"/>
            </w:tcBorders>
            <w:shd w:val="clear" w:color="auto" w:fill="auto"/>
            <w:noWrap/>
            <w:vAlign w:val="bottom"/>
            <w:hideMark/>
          </w:tcPr>
          <w:p w14:paraId="10F69BA4"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5FBDA650" w14:textId="77777777" w:rsidR="00102CC5" w:rsidRPr="00102CC5" w:rsidRDefault="00102CC5" w:rsidP="00102CC5">
            <w:pPr>
              <w:jc w:val="center"/>
              <w:rPr>
                <w:rFonts w:ascii="Calibri" w:hAnsi="Calibri" w:cs="Calibri"/>
                <w:color w:val="000000"/>
                <w:szCs w:val="22"/>
              </w:rPr>
            </w:pPr>
          </w:p>
        </w:tc>
      </w:tr>
      <w:tr w:rsidR="00102CC5" w:rsidRPr="00102CC5" w14:paraId="2444DEAA" w14:textId="77777777" w:rsidTr="00102CC5">
        <w:trPr>
          <w:trHeight w:val="300"/>
        </w:trPr>
        <w:tc>
          <w:tcPr>
            <w:tcW w:w="3220" w:type="dxa"/>
            <w:tcBorders>
              <w:top w:val="nil"/>
              <w:left w:val="nil"/>
              <w:bottom w:val="nil"/>
              <w:right w:val="nil"/>
            </w:tcBorders>
            <w:shd w:val="clear" w:color="auto" w:fill="auto"/>
            <w:noWrap/>
            <w:vAlign w:val="bottom"/>
            <w:hideMark/>
          </w:tcPr>
          <w:p w14:paraId="2D997624"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Bottle Lake</w:t>
            </w:r>
          </w:p>
        </w:tc>
        <w:tc>
          <w:tcPr>
            <w:tcW w:w="1120" w:type="dxa"/>
            <w:tcBorders>
              <w:top w:val="nil"/>
              <w:left w:val="nil"/>
              <w:bottom w:val="nil"/>
              <w:right w:val="nil"/>
            </w:tcBorders>
            <w:shd w:val="clear" w:color="auto" w:fill="auto"/>
            <w:noWrap/>
            <w:vAlign w:val="bottom"/>
            <w:hideMark/>
          </w:tcPr>
          <w:p w14:paraId="735615DF"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48920133"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7F33482C" w14:textId="77777777" w:rsidTr="00102CC5">
        <w:trPr>
          <w:trHeight w:val="300"/>
        </w:trPr>
        <w:tc>
          <w:tcPr>
            <w:tcW w:w="3220" w:type="dxa"/>
            <w:tcBorders>
              <w:top w:val="nil"/>
              <w:left w:val="nil"/>
              <w:bottom w:val="nil"/>
              <w:right w:val="nil"/>
            </w:tcBorders>
            <w:shd w:val="clear" w:color="auto" w:fill="auto"/>
            <w:noWrap/>
            <w:vAlign w:val="bottom"/>
            <w:hideMark/>
          </w:tcPr>
          <w:p w14:paraId="011EF122"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Caribou Marsh</w:t>
            </w:r>
          </w:p>
        </w:tc>
        <w:tc>
          <w:tcPr>
            <w:tcW w:w="1120" w:type="dxa"/>
            <w:tcBorders>
              <w:top w:val="nil"/>
              <w:left w:val="nil"/>
              <w:bottom w:val="nil"/>
              <w:right w:val="nil"/>
            </w:tcBorders>
            <w:shd w:val="clear" w:color="auto" w:fill="auto"/>
            <w:noWrap/>
            <w:vAlign w:val="bottom"/>
            <w:hideMark/>
          </w:tcPr>
          <w:p w14:paraId="1B1562DF" w14:textId="77777777" w:rsidR="00102CC5" w:rsidRPr="00102CC5" w:rsidRDefault="00102CC5" w:rsidP="00102CC5">
            <w:pPr>
              <w:rPr>
                <w:rFonts w:ascii="Calibri" w:hAnsi="Calibri" w:cs="Calibri"/>
                <w:color w:val="000000"/>
                <w:szCs w:val="22"/>
              </w:rPr>
            </w:pPr>
          </w:p>
        </w:tc>
        <w:tc>
          <w:tcPr>
            <w:tcW w:w="1000" w:type="dxa"/>
            <w:tcBorders>
              <w:top w:val="nil"/>
              <w:left w:val="nil"/>
              <w:bottom w:val="nil"/>
              <w:right w:val="nil"/>
            </w:tcBorders>
            <w:shd w:val="clear" w:color="auto" w:fill="auto"/>
            <w:noWrap/>
            <w:vAlign w:val="bottom"/>
            <w:hideMark/>
          </w:tcPr>
          <w:p w14:paraId="1E7EBD5D"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5CACC19A" w14:textId="77777777" w:rsidTr="00102CC5">
        <w:trPr>
          <w:trHeight w:val="300"/>
        </w:trPr>
        <w:tc>
          <w:tcPr>
            <w:tcW w:w="3220" w:type="dxa"/>
            <w:tcBorders>
              <w:top w:val="nil"/>
              <w:left w:val="nil"/>
              <w:bottom w:val="nil"/>
              <w:right w:val="nil"/>
            </w:tcBorders>
            <w:shd w:val="clear" w:color="auto" w:fill="auto"/>
            <w:noWrap/>
            <w:vAlign w:val="bottom"/>
            <w:hideMark/>
          </w:tcPr>
          <w:p w14:paraId="6D64CF0F"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Chase Lake</w:t>
            </w:r>
          </w:p>
        </w:tc>
        <w:tc>
          <w:tcPr>
            <w:tcW w:w="1120" w:type="dxa"/>
            <w:tcBorders>
              <w:top w:val="nil"/>
              <w:left w:val="nil"/>
              <w:bottom w:val="nil"/>
              <w:right w:val="nil"/>
            </w:tcBorders>
            <w:shd w:val="clear" w:color="auto" w:fill="auto"/>
            <w:noWrap/>
            <w:vAlign w:val="bottom"/>
            <w:hideMark/>
          </w:tcPr>
          <w:p w14:paraId="4F68597A"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713D6DD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32B399F8" w14:textId="77777777" w:rsidTr="00102CC5">
        <w:trPr>
          <w:trHeight w:val="300"/>
        </w:trPr>
        <w:tc>
          <w:tcPr>
            <w:tcW w:w="3220" w:type="dxa"/>
            <w:tcBorders>
              <w:top w:val="nil"/>
              <w:left w:val="nil"/>
              <w:bottom w:val="nil"/>
              <w:right w:val="nil"/>
            </w:tcBorders>
            <w:shd w:val="clear" w:color="auto" w:fill="auto"/>
            <w:noWrap/>
            <w:vAlign w:val="bottom"/>
            <w:hideMark/>
          </w:tcPr>
          <w:p w14:paraId="6A8C16C5"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Dubius Creek</w:t>
            </w:r>
          </w:p>
        </w:tc>
        <w:tc>
          <w:tcPr>
            <w:tcW w:w="1120" w:type="dxa"/>
            <w:tcBorders>
              <w:top w:val="nil"/>
              <w:left w:val="nil"/>
              <w:bottom w:val="nil"/>
              <w:right w:val="nil"/>
            </w:tcBorders>
            <w:shd w:val="clear" w:color="auto" w:fill="auto"/>
            <w:noWrap/>
            <w:vAlign w:val="bottom"/>
            <w:hideMark/>
          </w:tcPr>
          <w:p w14:paraId="1B527E00" w14:textId="77777777" w:rsidR="00102CC5" w:rsidRPr="00102CC5" w:rsidRDefault="00102CC5" w:rsidP="00102CC5">
            <w:pPr>
              <w:rPr>
                <w:rFonts w:ascii="Calibri" w:hAnsi="Calibri" w:cs="Calibri"/>
                <w:color w:val="000000"/>
                <w:szCs w:val="22"/>
              </w:rPr>
            </w:pPr>
          </w:p>
        </w:tc>
        <w:tc>
          <w:tcPr>
            <w:tcW w:w="1000" w:type="dxa"/>
            <w:tcBorders>
              <w:top w:val="nil"/>
              <w:left w:val="nil"/>
              <w:bottom w:val="nil"/>
              <w:right w:val="nil"/>
            </w:tcBorders>
            <w:shd w:val="clear" w:color="auto" w:fill="auto"/>
            <w:noWrap/>
            <w:vAlign w:val="bottom"/>
            <w:hideMark/>
          </w:tcPr>
          <w:p w14:paraId="46B89832"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4E0D2AAA" w14:textId="77777777" w:rsidTr="00102CC5">
        <w:trPr>
          <w:trHeight w:val="300"/>
        </w:trPr>
        <w:tc>
          <w:tcPr>
            <w:tcW w:w="3220" w:type="dxa"/>
            <w:tcBorders>
              <w:top w:val="nil"/>
              <w:left w:val="nil"/>
              <w:bottom w:val="nil"/>
              <w:right w:val="nil"/>
            </w:tcBorders>
            <w:shd w:val="clear" w:color="auto" w:fill="auto"/>
            <w:noWrap/>
            <w:vAlign w:val="bottom"/>
            <w:hideMark/>
          </w:tcPr>
          <w:p w14:paraId="2F2696D6"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Hager Lake</w:t>
            </w:r>
          </w:p>
        </w:tc>
        <w:tc>
          <w:tcPr>
            <w:tcW w:w="1120" w:type="dxa"/>
            <w:tcBorders>
              <w:top w:val="nil"/>
              <w:left w:val="nil"/>
              <w:bottom w:val="nil"/>
              <w:right w:val="nil"/>
            </w:tcBorders>
            <w:shd w:val="clear" w:color="auto" w:fill="auto"/>
            <w:noWrap/>
            <w:vAlign w:val="bottom"/>
            <w:hideMark/>
          </w:tcPr>
          <w:p w14:paraId="76755E1D"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0FA87E97"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30B66789" w14:textId="77777777" w:rsidTr="00102CC5">
        <w:trPr>
          <w:trHeight w:val="300"/>
        </w:trPr>
        <w:tc>
          <w:tcPr>
            <w:tcW w:w="3220" w:type="dxa"/>
            <w:tcBorders>
              <w:top w:val="nil"/>
              <w:left w:val="nil"/>
              <w:bottom w:val="nil"/>
              <w:right w:val="nil"/>
            </w:tcBorders>
            <w:shd w:val="clear" w:color="auto" w:fill="auto"/>
            <w:noWrap/>
            <w:vAlign w:val="bottom"/>
            <w:hideMark/>
          </w:tcPr>
          <w:p w14:paraId="6A2AA45B"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Kalispell Creek</w:t>
            </w:r>
          </w:p>
        </w:tc>
        <w:tc>
          <w:tcPr>
            <w:tcW w:w="1120" w:type="dxa"/>
            <w:tcBorders>
              <w:top w:val="nil"/>
              <w:left w:val="nil"/>
              <w:bottom w:val="nil"/>
              <w:right w:val="nil"/>
            </w:tcBorders>
            <w:shd w:val="clear" w:color="auto" w:fill="auto"/>
            <w:noWrap/>
            <w:vAlign w:val="bottom"/>
            <w:hideMark/>
          </w:tcPr>
          <w:p w14:paraId="00F026C8"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180C7377" w14:textId="77777777" w:rsidR="00102CC5" w:rsidRPr="00102CC5" w:rsidRDefault="00102CC5" w:rsidP="00102CC5">
            <w:pPr>
              <w:jc w:val="center"/>
              <w:rPr>
                <w:rFonts w:ascii="Calibri" w:hAnsi="Calibri" w:cs="Calibri"/>
                <w:color w:val="000000"/>
                <w:szCs w:val="22"/>
              </w:rPr>
            </w:pPr>
          </w:p>
        </w:tc>
      </w:tr>
      <w:tr w:rsidR="00102CC5" w:rsidRPr="00102CC5" w14:paraId="7E6C42DD" w14:textId="77777777" w:rsidTr="00102CC5">
        <w:trPr>
          <w:trHeight w:val="300"/>
        </w:trPr>
        <w:tc>
          <w:tcPr>
            <w:tcW w:w="3220" w:type="dxa"/>
            <w:tcBorders>
              <w:top w:val="nil"/>
              <w:left w:val="nil"/>
              <w:bottom w:val="nil"/>
              <w:right w:val="nil"/>
            </w:tcBorders>
            <w:shd w:val="clear" w:color="auto" w:fill="auto"/>
            <w:noWrap/>
            <w:vAlign w:val="bottom"/>
            <w:hideMark/>
          </w:tcPr>
          <w:p w14:paraId="60AEC6CD"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Kaniksu Marsh RNA</w:t>
            </w:r>
          </w:p>
        </w:tc>
        <w:tc>
          <w:tcPr>
            <w:tcW w:w="1120" w:type="dxa"/>
            <w:tcBorders>
              <w:top w:val="nil"/>
              <w:left w:val="nil"/>
              <w:bottom w:val="nil"/>
              <w:right w:val="nil"/>
            </w:tcBorders>
            <w:shd w:val="clear" w:color="auto" w:fill="auto"/>
            <w:noWrap/>
            <w:vAlign w:val="bottom"/>
            <w:hideMark/>
          </w:tcPr>
          <w:p w14:paraId="2C0D885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1E3550DF"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0AEC35E6" w14:textId="77777777" w:rsidTr="00102CC5">
        <w:trPr>
          <w:trHeight w:val="300"/>
        </w:trPr>
        <w:tc>
          <w:tcPr>
            <w:tcW w:w="3220" w:type="dxa"/>
            <w:tcBorders>
              <w:top w:val="nil"/>
              <w:left w:val="nil"/>
              <w:bottom w:val="nil"/>
              <w:right w:val="nil"/>
            </w:tcBorders>
            <w:shd w:val="clear" w:color="auto" w:fill="auto"/>
            <w:noWrap/>
            <w:vAlign w:val="bottom"/>
            <w:hideMark/>
          </w:tcPr>
          <w:p w14:paraId="1A4E1FE8"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Lee Lake</w:t>
            </w:r>
          </w:p>
        </w:tc>
        <w:tc>
          <w:tcPr>
            <w:tcW w:w="1120" w:type="dxa"/>
            <w:tcBorders>
              <w:top w:val="nil"/>
              <w:left w:val="nil"/>
              <w:bottom w:val="nil"/>
              <w:right w:val="nil"/>
            </w:tcBorders>
            <w:shd w:val="clear" w:color="auto" w:fill="auto"/>
            <w:noWrap/>
            <w:vAlign w:val="bottom"/>
            <w:hideMark/>
          </w:tcPr>
          <w:p w14:paraId="422AD86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00BDC2F1"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7BD8A092" w14:textId="77777777" w:rsidTr="00102CC5">
        <w:trPr>
          <w:trHeight w:val="300"/>
        </w:trPr>
        <w:tc>
          <w:tcPr>
            <w:tcW w:w="3220" w:type="dxa"/>
            <w:tcBorders>
              <w:top w:val="nil"/>
              <w:left w:val="nil"/>
              <w:bottom w:val="nil"/>
              <w:right w:val="nil"/>
            </w:tcBorders>
            <w:shd w:val="clear" w:color="auto" w:fill="auto"/>
            <w:noWrap/>
            <w:vAlign w:val="bottom"/>
            <w:hideMark/>
          </w:tcPr>
          <w:p w14:paraId="22DC81B0"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Mosquito Bay Fen</w:t>
            </w:r>
          </w:p>
        </w:tc>
        <w:tc>
          <w:tcPr>
            <w:tcW w:w="1120" w:type="dxa"/>
            <w:tcBorders>
              <w:top w:val="nil"/>
              <w:left w:val="nil"/>
              <w:bottom w:val="nil"/>
              <w:right w:val="nil"/>
            </w:tcBorders>
            <w:shd w:val="clear" w:color="auto" w:fill="auto"/>
            <w:noWrap/>
            <w:vAlign w:val="bottom"/>
            <w:hideMark/>
          </w:tcPr>
          <w:p w14:paraId="006806B5"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31D60DB5" w14:textId="77777777" w:rsidR="00102CC5" w:rsidRPr="00102CC5" w:rsidRDefault="00102CC5" w:rsidP="00102CC5">
            <w:pPr>
              <w:jc w:val="center"/>
              <w:rPr>
                <w:rFonts w:ascii="Calibri" w:hAnsi="Calibri" w:cs="Calibri"/>
                <w:color w:val="000000"/>
                <w:szCs w:val="22"/>
              </w:rPr>
            </w:pPr>
          </w:p>
        </w:tc>
      </w:tr>
      <w:tr w:rsidR="00102CC5" w:rsidRPr="00102CC5" w14:paraId="415E4C6D" w14:textId="77777777" w:rsidTr="00102CC5">
        <w:trPr>
          <w:trHeight w:val="300"/>
        </w:trPr>
        <w:tc>
          <w:tcPr>
            <w:tcW w:w="3220" w:type="dxa"/>
            <w:tcBorders>
              <w:top w:val="nil"/>
              <w:left w:val="nil"/>
              <w:bottom w:val="nil"/>
              <w:right w:val="nil"/>
            </w:tcBorders>
            <w:shd w:val="clear" w:color="auto" w:fill="auto"/>
            <w:noWrap/>
            <w:vAlign w:val="bottom"/>
            <w:hideMark/>
          </w:tcPr>
          <w:p w14:paraId="40950061"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Potholes RNA</w:t>
            </w:r>
          </w:p>
        </w:tc>
        <w:tc>
          <w:tcPr>
            <w:tcW w:w="1120" w:type="dxa"/>
            <w:tcBorders>
              <w:top w:val="nil"/>
              <w:left w:val="nil"/>
              <w:bottom w:val="nil"/>
              <w:right w:val="nil"/>
            </w:tcBorders>
            <w:shd w:val="clear" w:color="auto" w:fill="auto"/>
            <w:noWrap/>
            <w:vAlign w:val="bottom"/>
            <w:hideMark/>
          </w:tcPr>
          <w:p w14:paraId="2F3C6AB9"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3BD6FABF"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4CE184F4" w14:textId="77777777" w:rsidTr="00102CC5">
        <w:trPr>
          <w:trHeight w:val="300"/>
        </w:trPr>
        <w:tc>
          <w:tcPr>
            <w:tcW w:w="3220" w:type="dxa"/>
            <w:tcBorders>
              <w:top w:val="nil"/>
              <w:left w:val="nil"/>
              <w:bottom w:val="nil"/>
              <w:right w:val="nil"/>
            </w:tcBorders>
            <w:shd w:val="clear" w:color="auto" w:fill="auto"/>
            <w:noWrap/>
            <w:vAlign w:val="bottom"/>
            <w:hideMark/>
          </w:tcPr>
          <w:p w14:paraId="59A6BFAC"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Priest River</w:t>
            </w:r>
          </w:p>
        </w:tc>
        <w:tc>
          <w:tcPr>
            <w:tcW w:w="1120" w:type="dxa"/>
            <w:tcBorders>
              <w:top w:val="nil"/>
              <w:left w:val="nil"/>
              <w:bottom w:val="nil"/>
              <w:right w:val="nil"/>
            </w:tcBorders>
            <w:shd w:val="clear" w:color="auto" w:fill="auto"/>
            <w:noWrap/>
            <w:vAlign w:val="bottom"/>
            <w:hideMark/>
          </w:tcPr>
          <w:p w14:paraId="6D140DA9"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H</w:t>
            </w:r>
          </w:p>
        </w:tc>
        <w:tc>
          <w:tcPr>
            <w:tcW w:w="1000" w:type="dxa"/>
            <w:tcBorders>
              <w:top w:val="nil"/>
              <w:left w:val="nil"/>
              <w:bottom w:val="nil"/>
              <w:right w:val="nil"/>
            </w:tcBorders>
            <w:shd w:val="clear" w:color="auto" w:fill="auto"/>
            <w:noWrap/>
            <w:vAlign w:val="bottom"/>
            <w:hideMark/>
          </w:tcPr>
          <w:p w14:paraId="355D06FA" w14:textId="77777777" w:rsidR="00102CC5" w:rsidRPr="00102CC5" w:rsidRDefault="00102CC5" w:rsidP="00102CC5">
            <w:pPr>
              <w:jc w:val="center"/>
              <w:rPr>
                <w:rFonts w:ascii="Calibri" w:hAnsi="Calibri" w:cs="Calibri"/>
                <w:color w:val="000000"/>
                <w:szCs w:val="22"/>
              </w:rPr>
            </w:pPr>
          </w:p>
        </w:tc>
      </w:tr>
      <w:tr w:rsidR="00102CC5" w:rsidRPr="00102CC5" w14:paraId="4CC977AB" w14:textId="77777777" w:rsidTr="00102CC5">
        <w:trPr>
          <w:trHeight w:val="300"/>
        </w:trPr>
        <w:tc>
          <w:tcPr>
            <w:tcW w:w="3220" w:type="dxa"/>
            <w:tcBorders>
              <w:top w:val="nil"/>
              <w:left w:val="nil"/>
              <w:bottom w:val="nil"/>
              <w:right w:val="nil"/>
            </w:tcBorders>
            <w:shd w:val="clear" w:color="auto" w:fill="auto"/>
            <w:noWrap/>
            <w:vAlign w:val="bottom"/>
            <w:hideMark/>
          </w:tcPr>
          <w:p w14:paraId="02B66035"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Upper Priest Lake Shore</w:t>
            </w:r>
          </w:p>
        </w:tc>
        <w:tc>
          <w:tcPr>
            <w:tcW w:w="1120" w:type="dxa"/>
            <w:tcBorders>
              <w:top w:val="nil"/>
              <w:left w:val="nil"/>
              <w:bottom w:val="nil"/>
              <w:right w:val="nil"/>
            </w:tcBorders>
            <w:shd w:val="clear" w:color="auto" w:fill="auto"/>
            <w:noWrap/>
            <w:vAlign w:val="bottom"/>
            <w:hideMark/>
          </w:tcPr>
          <w:p w14:paraId="29958362"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67DE0DEF" w14:textId="77777777" w:rsidR="00102CC5" w:rsidRPr="00102CC5" w:rsidRDefault="00102CC5" w:rsidP="00102CC5">
            <w:pPr>
              <w:jc w:val="center"/>
              <w:rPr>
                <w:rFonts w:ascii="Calibri" w:hAnsi="Calibri" w:cs="Calibri"/>
                <w:color w:val="000000"/>
                <w:szCs w:val="22"/>
              </w:rPr>
            </w:pPr>
          </w:p>
        </w:tc>
      </w:tr>
      <w:tr w:rsidR="00102CC5" w:rsidRPr="00102CC5" w14:paraId="7BD8B215" w14:textId="77777777" w:rsidTr="00102CC5">
        <w:trPr>
          <w:trHeight w:val="300"/>
        </w:trPr>
        <w:tc>
          <w:tcPr>
            <w:tcW w:w="3220" w:type="dxa"/>
            <w:tcBorders>
              <w:top w:val="nil"/>
              <w:left w:val="nil"/>
              <w:bottom w:val="nil"/>
              <w:right w:val="nil"/>
            </w:tcBorders>
            <w:shd w:val="clear" w:color="auto" w:fill="auto"/>
            <w:noWrap/>
            <w:vAlign w:val="bottom"/>
            <w:hideMark/>
          </w:tcPr>
          <w:p w14:paraId="6800BFE6"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Boundary County</w:t>
            </w:r>
          </w:p>
        </w:tc>
        <w:tc>
          <w:tcPr>
            <w:tcW w:w="1120" w:type="dxa"/>
            <w:tcBorders>
              <w:top w:val="nil"/>
              <w:left w:val="nil"/>
              <w:bottom w:val="nil"/>
              <w:right w:val="nil"/>
            </w:tcBorders>
            <w:shd w:val="clear" w:color="auto" w:fill="auto"/>
            <w:noWrap/>
            <w:vAlign w:val="bottom"/>
            <w:hideMark/>
          </w:tcPr>
          <w:p w14:paraId="7FCEC027"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39AEA40F" w14:textId="77777777" w:rsidR="00102CC5" w:rsidRPr="00102CC5" w:rsidRDefault="00102CC5" w:rsidP="00102CC5">
            <w:pPr>
              <w:jc w:val="center"/>
              <w:rPr>
                <w:sz w:val="20"/>
              </w:rPr>
            </w:pPr>
          </w:p>
        </w:tc>
      </w:tr>
      <w:tr w:rsidR="00102CC5" w:rsidRPr="00102CC5" w14:paraId="2CF53983" w14:textId="77777777" w:rsidTr="00102CC5">
        <w:trPr>
          <w:trHeight w:val="300"/>
        </w:trPr>
        <w:tc>
          <w:tcPr>
            <w:tcW w:w="3220" w:type="dxa"/>
            <w:tcBorders>
              <w:top w:val="nil"/>
              <w:left w:val="nil"/>
              <w:bottom w:val="nil"/>
              <w:right w:val="nil"/>
            </w:tcBorders>
            <w:shd w:val="clear" w:color="auto" w:fill="auto"/>
            <w:noWrap/>
            <w:vAlign w:val="bottom"/>
            <w:hideMark/>
          </w:tcPr>
          <w:p w14:paraId="4334B947"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Jessica's Fen</w:t>
            </w:r>
          </w:p>
        </w:tc>
        <w:tc>
          <w:tcPr>
            <w:tcW w:w="1120" w:type="dxa"/>
            <w:tcBorders>
              <w:top w:val="nil"/>
              <w:left w:val="nil"/>
              <w:bottom w:val="nil"/>
              <w:right w:val="nil"/>
            </w:tcBorders>
            <w:shd w:val="clear" w:color="auto" w:fill="auto"/>
            <w:noWrap/>
            <w:vAlign w:val="bottom"/>
            <w:hideMark/>
          </w:tcPr>
          <w:p w14:paraId="58B4B720"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27E23AC4" w14:textId="77777777" w:rsidR="00102CC5" w:rsidRPr="00102CC5" w:rsidRDefault="00102CC5" w:rsidP="00102CC5">
            <w:pPr>
              <w:jc w:val="center"/>
              <w:rPr>
                <w:rFonts w:ascii="Calibri" w:hAnsi="Calibri" w:cs="Calibri"/>
                <w:color w:val="000000"/>
                <w:szCs w:val="22"/>
              </w:rPr>
            </w:pPr>
          </w:p>
        </w:tc>
      </w:tr>
      <w:tr w:rsidR="00102CC5" w:rsidRPr="00102CC5" w14:paraId="65A32355" w14:textId="77777777" w:rsidTr="00102CC5">
        <w:trPr>
          <w:trHeight w:val="300"/>
        </w:trPr>
        <w:tc>
          <w:tcPr>
            <w:tcW w:w="3220" w:type="dxa"/>
            <w:tcBorders>
              <w:top w:val="nil"/>
              <w:left w:val="nil"/>
              <w:bottom w:val="nil"/>
              <w:right w:val="nil"/>
            </w:tcBorders>
            <w:shd w:val="clear" w:color="auto" w:fill="auto"/>
            <w:noWrap/>
            <w:vAlign w:val="bottom"/>
            <w:hideMark/>
          </w:tcPr>
          <w:p w14:paraId="56AC14EE"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Perkins Lake</w:t>
            </w:r>
          </w:p>
        </w:tc>
        <w:tc>
          <w:tcPr>
            <w:tcW w:w="1120" w:type="dxa"/>
            <w:tcBorders>
              <w:top w:val="nil"/>
              <w:left w:val="nil"/>
              <w:bottom w:val="nil"/>
              <w:right w:val="nil"/>
            </w:tcBorders>
            <w:shd w:val="clear" w:color="auto" w:fill="auto"/>
            <w:noWrap/>
            <w:vAlign w:val="bottom"/>
            <w:hideMark/>
          </w:tcPr>
          <w:p w14:paraId="22ABCD19"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33E7FB5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528931A6" w14:textId="77777777" w:rsidTr="00102CC5">
        <w:trPr>
          <w:trHeight w:val="300"/>
        </w:trPr>
        <w:tc>
          <w:tcPr>
            <w:tcW w:w="3220" w:type="dxa"/>
            <w:tcBorders>
              <w:top w:val="nil"/>
              <w:left w:val="nil"/>
              <w:bottom w:val="nil"/>
              <w:right w:val="nil"/>
            </w:tcBorders>
            <w:shd w:val="clear" w:color="auto" w:fill="auto"/>
            <w:noWrap/>
            <w:vAlign w:val="bottom"/>
            <w:hideMark/>
          </w:tcPr>
          <w:p w14:paraId="3E8F5A15"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Custer County</w:t>
            </w:r>
          </w:p>
        </w:tc>
        <w:tc>
          <w:tcPr>
            <w:tcW w:w="1120" w:type="dxa"/>
            <w:tcBorders>
              <w:top w:val="nil"/>
              <w:left w:val="nil"/>
              <w:bottom w:val="nil"/>
              <w:right w:val="nil"/>
            </w:tcBorders>
            <w:shd w:val="clear" w:color="auto" w:fill="auto"/>
            <w:noWrap/>
            <w:vAlign w:val="bottom"/>
            <w:hideMark/>
          </w:tcPr>
          <w:p w14:paraId="1C7FA82E"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6863AA4D" w14:textId="77777777" w:rsidR="00102CC5" w:rsidRPr="00102CC5" w:rsidRDefault="00102CC5" w:rsidP="00102CC5">
            <w:pPr>
              <w:jc w:val="center"/>
              <w:rPr>
                <w:sz w:val="20"/>
              </w:rPr>
            </w:pPr>
          </w:p>
        </w:tc>
      </w:tr>
      <w:tr w:rsidR="00102CC5" w:rsidRPr="00102CC5" w14:paraId="69CAA9AE" w14:textId="77777777" w:rsidTr="00102CC5">
        <w:trPr>
          <w:trHeight w:val="300"/>
        </w:trPr>
        <w:tc>
          <w:tcPr>
            <w:tcW w:w="3220" w:type="dxa"/>
            <w:tcBorders>
              <w:top w:val="nil"/>
              <w:left w:val="nil"/>
              <w:bottom w:val="nil"/>
              <w:right w:val="nil"/>
            </w:tcBorders>
            <w:shd w:val="clear" w:color="auto" w:fill="auto"/>
            <w:noWrap/>
            <w:vAlign w:val="bottom"/>
            <w:hideMark/>
          </w:tcPr>
          <w:p w14:paraId="744299CC"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Cape Horn</w:t>
            </w:r>
          </w:p>
        </w:tc>
        <w:tc>
          <w:tcPr>
            <w:tcW w:w="1120" w:type="dxa"/>
            <w:tcBorders>
              <w:top w:val="nil"/>
              <w:left w:val="nil"/>
              <w:bottom w:val="nil"/>
              <w:right w:val="nil"/>
            </w:tcBorders>
            <w:shd w:val="clear" w:color="auto" w:fill="auto"/>
            <w:noWrap/>
            <w:vAlign w:val="bottom"/>
            <w:hideMark/>
          </w:tcPr>
          <w:p w14:paraId="3A1327E9"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0BEEF8C7" w14:textId="77777777" w:rsidR="00102CC5" w:rsidRPr="00102CC5" w:rsidRDefault="00102CC5" w:rsidP="00102CC5">
            <w:pPr>
              <w:jc w:val="center"/>
              <w:rPr>
                <w:rFonts w:ascii="Calibri" w:hAnsi="Calibri" w:cs="Calibri"/>
                <w:color w:val="000000"/>
                <w:szCs w:val="22"/>
              </w:rPr>
            </w:pPr>
          </w:p>
        </w:tc>
      </w:tr>
      <w:tr w:rsidR="00102CC5" w:rsidRPr="00102CC5" w14:paraId="353F2333" w14:textId="77777777" w:rsidTr="00102CC5">
        <w:trPr>
          <w:trHeight w:val="300"/>
        </w:trPr>
        <w:tc>
          <w:tcPr>
            <w:tcW w:w="3220" w:type="dxa"/>
            <w:tcBorders>
              <w:top w:val="nil"/>
              <w:left w:val="nil"/>
              <w:bottom w:val="nil"/>
              <w:right w:val="nil"/>
            </w:tcBorders>
            <w:shd w:val="clear" w:color="auto" w:fill="auto"/>
            <w:noWrap/>
            <w:vAlign w:val="bottom"/>
            <w:hideMark/>
          </w:tcPr>
          <w:p w14:paraId="1EDC6BAE"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Fremont County</w:t>
            </w:r>
          </w:p>
        </w:tc>
        <w:tc>
          <w:tcPr>
            <w:tcW w:w="1120" w:type="dxa"/>
            <w:tcBorders>
              <w:top w:val="nil"/>
              <w:left w:val="nil"/>
              <w:bottom w:val="nil"/>
              <w:right w:val="nil"/>
            </w:tcBorders>
            <w:shd w:val="clear" w:color="auto" w:fill="auto"/>
            <w:noWrap/>
            <w:vAlign w:val="bottom"/>
            <w:hideMark/>
          </w:tcPr>
          <w:p w14:paraId="091BA22B"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042908B1" w14:textId="77777777" w:rsidR="00102CC5" w:rsidRPr="00102CC5" w:rsidRDefault="00102CC5" w:rsidP="00102CC5">
            <w:pPr>
              <w:jc w:val="center"/>
              <w:rPr>
                <w:sz w:val="20"/>
              </w:rPr>
            </w:pPr>
          </w:p>
        </w:tc>
      </w:tr>
      <w:tr w:rsidR="00102CC5" w:rsidRPr="00102CC5" w14:paraId="41C5EF2C" w14:textId="77777777" w:rsidTr="00102CC5">
        <w:trPr>
          <w:trHeight w:val="300"/>
        </w:trPr>
        <w:tc>
          <w:tcPr>
            <w:tcW w:w="3220" w:type="dxa"/>
            <w:tcBorders>
              <w:top w:val="nil"/>
              <w:left w:val="nil"/>
              <w:bottom w:val="nil"/>
              <w:right w:val="nil"/>
            </w:tcBorders>
            <w:shd w:val="clear" w:color="auto" w:fill="auto"/>
            <w:noWrap/>
            <w:vAlign w:val="bottom"/>
            <w:hideMark/>
          </w:tcPr>
          <w:p w14:paraId="52363E82"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Yellowstone National Park</w:t>
            </w:r>
          </w:p>
        </w:tc>
        <w:tc>
          <w:tcPr>
            <w:tcW w:w="1120" w:type="dxa"/>
            <w:tcBorders>
              <w:top w:val="nil"/>
              <w:left w:val="nil"/>
              <w:bottom w:val="nil"/>
              <w:right w:val="nil"/>
            </w:tcBorders>
            <w:shd w:val="clear" w:color="auto" w:fill="auto"/>
            <w:noWrap/>
            <w:vAlign w:val="bottom"/>
            <w:hideMark/>
          </w:tcPr>
          <w:p w14:paraId="0608D90C"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1C7B5058"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5552F8CF" w14:textId="77777777" w:rsidTr="00102CC5">
        <w:trPr>
          <w:trHeight w:val="300"/>
        </w:trPr>
        <w:tc>
          <w:tcPr>
            <w:tcW w:w="3220" w:type="dxa"/>
            <w:tcBorders>
              <w:top w:val="nil"/>
              <w:left w:val="nil"/>
              <w:bottom w:val="nil"/>
              <w:right w:val="nil"/>
            </w:tcBorders>
            <w:shd w:val="clear" w:color="auto" w:fill="auto"/>
            <w:noWrap/>
            <w:vAlign w:val="bottom"/>
            <w:hideMark/>
          </w:tcPr>
          <w:p w14:paraId="61755575"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Idaho County</w:t>
            </w:r>
          </w:p>
        </w:tc>
        <w:tc>
          <w:tcPr>
            <w:tcW w:w="1120" w:type="dxa"/>
            <w:tcBorders>
              <w:top w:val="nil"/>
              <w:left w:val="nil"/>
              <w:bottom w:val="nil"/>
              <w:right w:val="nil"/>
            </w:tcBorders>
            <w:shd w:val="clear" w:color="auto" w:fill="auto"/>
            <w:noWrap/>
            <w:vAlign w:val="bottom"/>
            <w:hideMark/>
          </w:tcPr>
          <w:p w14:paraId="6D5C479D"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08343146" w14:textId="77777777" w:rsidR="00102CC5" w:rsidRPr="00102CC5" w:rsidRDefault="00102CC5" w:rsidP="00102CC5">
            <w:pPr>
              <w:jc w:val="center"/>
              <w:rPr>
                <w:sz w:val="20"/>
              </w:rPr>
            </w:pPr>
          </w:p>
        </w:tc>
      </w:tr>
      <w:tr w:rsidR="00102CC5" w:rsidRPr="00102CC5" w14:paraId="5B879BE2" w14:textId="77777777" w:rsidTr="00102CC5">
        <w:trPr>
          <w:trHeight w:val="300"/>
        </w:trPr>
        <w:tc>
          <w:tcPr>
            <w:tcW w:w="3220" w:type="dxa"/>
            <w:tcBorders>
              <w:top w:val="nil"/>
              <w:left w:val="nil"/>
              <w:bottom w:val="nil"/>
              <w:right w:val="nil"/>
            </w:tcBorders>
            <w:shd w:val="clear" w:color="auto" w:fill="auto"/>
            <w:noWrap/>
            <w:vAlign w:val="bottom"/>
            <w:hideMark/>
          </w:tcPr>
          <w:p w14:paraId="6B2007BF"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Lava Butte</w:t>
            </w:r>
          </w:p>
        </w:tc>
        <w:tc>
          <w:tcPr>
            <w:tcW w:w="1120" w:type="dxa"/>
            <w:tcBorders>
              <w:top w:val="nil"/>
              <w:left w:val="nil"/>
              <w:bottom w:val="nil"/>
              <w:right w:val="nil"/>
            </w:tcBorders>
            <w:shd w:val="clear" w:color="auto" w:fill="auto"/>
            <w:noWrap/>
            <w:vAlign w:val="bottom"/>
            <w:hideMark/>
          </w:tcPr>
          <w:p w14:paraId="46D60F77"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1D1C236C" w14:textId="77777777" w:rsidR="00102CC5" w:rsidRPr="00102CC5" w:rsidRDefault="00102CC5" w:rsidP="00102CC5">
            <w:pPr>
              <w:jc w:val="center"/>
              <w:rPr>
                <w:rFonts w:ascii="Calibri" w:hAnsi="Calibri" w:cs="Calibri"/>
                <w:color w:val="000000"/>
                <w:szCs w:val="22"/>
              </w:rPr>
            </w:pPr>
          </w:p>
        </w:tc>
      </w:tr>
      <w:tr w:rsidR="00102CC5" w:rsidRPr="00102CC5" w14:paraId="4ADF2BBA" w14:textId="77777777" w:rsidTr="00102CC5">
        <w:trPr>
          <w:trHeight w:val="300"/>
        </w:trPr>
        <w:tc>
          <w:tcPr>
            <w:tcW w:w="3220" w:type="dxa"/>
            <w:tcBorders>
              <w:top w:val="nil"/>
              <w:left w:val="nil"/>
              <w:bottom w:val="nil"/>
              <w:right w:val="nil"/>
            </w:tcBorders>
            <w:shd w:val="clear" w:color="auto" w:fill="auto"/>
            <w:noWrap/>
            <w:vAlign w:val="bottom"/>
            <w:hideMark/>
          </w:tcPr>
          <w:p w14:paraId="7C740909"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Packer Meadow</w:t>
            </w:r>
          </w:p>
        </w:tc>
        <w:tc>
          <w:tcPr>
            <w:tcW w:w="1120" w:type="dxa"/>
            <w:tcBorders>
              <w:top w:val="nil"/>
              <w:left w:val="nil"/>
              <w:bottom w:val="nil"/>
              <w:right w:val="nil"/>
            </w:tcBorders>
            <w:shd w:val="clear" w:color="auto" w:fill="auto"/>
            <w:noWrap/>
            <w:vAlign w:val="bottom"/>
            <w:hideMark/>
          </w:tcPr>
          <w:p w14:paraId="0A8B999B"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28908230" w14:textId="77777777" w:rsidR="00102CC5" w:rsidRPr="00102CC5" w:rsidRDefault="00102CC5" w:rsidP="00102CC5">
            <w:pPr>
              <w:jc w:val="center"/>
              <w:rPr>
                <w:rFonts w:ascii="Calibri" w:hAnsi="Calibri" w:cs="Calibri"/>
                <w:color w:val="000000"/>
                <w:szCs w:val="22"/>
              </w:rPr>
            </w:pPr>
          </w:p>
        </w:tc>
      </w:tr>
      <w:tr w:rsidR="00102CC5" w:rsidRPr="00102CC5" w14:paraId="359C8DD6" w14:textId="77777777" w:rsidTr="00102CC5">
        <w:trPr>
          <w:trHeight w:val="300"/>
        </w:trPr>
        <w:tc>
          <w:tcPr>
            <w:tcW w:w="3220" w:type="dxa"/>
            <w:tcBorders>
              <w:top w:val="nil"/>
              <w:left w:val="nil"/>
              <w:bottom w:val="nil"/>
              <w:right w:val="nil"/>
            </w:tcBorders>
            <w:shd w:val="clear" w:color="auto" w:fill="auto"/>
            <w:noWrap/>
            <w:vAlign w:val="bottom"/>
            <w:hideMark/>
          </w:tcPr>
          <w:p w14:paraId="6E9D5290"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Kootenai County</w:t>
            </w:r>
          </w:p>
        </w:tc>
        <w:tc>
          <w:tcPr>
            <w:tcW w:w="1120" w:type="dxa"/>
            <w:tcBorders>
              <w:top w:val="nil"/>
              <w:left w:val="nil"/>
              <w:bottom w:val="nil"/>
              <w:right w:val="nil"/>
            </w:tcBorders>
            <w:shd w:val="clear" w:color="auto" w:fill="auto"/>
            <w:noWrap/>
            <w:vAlign w:val="bottom"/>
            <w:hideMark/>
          </w:tcPr>
          <w:p w14:paraId="24754FE8"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438738D8" w14:textId="77777777" w:rsidR="00102CC5" w:rsidRPr="00102CC5" w:rsidRDefault="00102CC5" w:rsidP="00102CC5">
            <w:pPr>
              <w:jc w:val="center"/>
              <w:rPr>
                <w:sz w:val="20"/>
              </w:rPr>
            </w:pPr>
          </w:p>
        </w:tc>
      </w:tr>
      <w:tr w:rsidR="00102CC5" w:rsidRPr="00102CC5" w14:paraId="21DA2506" w14:textId="77777777" w:rsidTr="00102CC5">
        <w:trPr>
          <w:trHeight w:val="300"/>
        </w:trPr>
        <w:tc>
          <w:tcPr>
            <w:tcW w:w="3220" w:type="dxa"/>
            <w:tcBorders>
              <w:top w:val="nil"/>
              <w:left w:val="nil"/>
              <w:bottom w:val="nil"/>
              <w:right w:val="nil"/>
            </w:tcBorders>
            <w:shd w:val="clear" w:color="auto" w:fill="auto"/>
            <w:noWrap/>
            <w:vAlign w:val="bottom"/>
            <w:hideMark/>
          </w:tcPr>
          <w:p w14:paraId="51FA1CA3"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Rose Lake Fen</w:t>
            </w:r>
          </w:p>
        </w:tc>
        <w:tc>
          <w:tcPr>
            <w:tcW w:w="1120" w:type="dxa"/>
            <w:tcBorders>
              <w:top w:val="nil"/>
              <w:left w:val="nil"/>
              <w:bottom w:val="nil"/>
              <w:right w:val="nil"/>
            </w:tcBorders>
            <w:shd w:val="clear" w:color="auto" w:fill="auto"/>
            <w:noWrap/>
            <w:vAlign w:val="bottom"/>
            <w:hideMark/>
          </w:tcPr>
          <w:p w14:paraId="03298783"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6B406E73" w14:textId="77777777" w:rsidR="00102CC5" w:rsidRPr="00102CC5" w:rsidRDefault="00102CC5" w:rsidP="00102CC5">
            <w:pPr>
              <w:jc w:val="center"/>
              <w:rPr>
                <w:rFonts w:ascii="Calibri" w:hAnsi="Calibri" w:cs="Calibri"/>
                <w:color w:val="000000"/>
                <w:szCs w:val="22"/>
              </w:rPr>
            </w:pPr>
          </w:p>
        </w:tc>
      </w:tr>
      <w:tr w:rsidR="00102CC5" w:rsidRPr="00102CC5" w14:paraId="4F920D3B" w14:textId="77777777" w:rsidTr="00102CC5">
        <w:trPr>
          <w:trHeight w:val="300"/>
        </w:trPr>
        <w:tc>
          <w:tcPr>
            <w:tcW w:w="3220" w:type="dxa"/>
            <w:tcBorders>
              <w:top w:val="nil"/>
              <w:left w:val="nil"/>
              <w:bottom w:val="nil"/>
              <w:right w:val="nil"/>
            </w:tcBorders>
            <w:shd w:val="clear" w:color="auto" w:fill="auto"/>
            <w:noWrap/>
            <w:vAlign w:val="bottom"/>
            <w:hideMark/>
          </w:tcPr>
          <w:p w14:paraId="48CB094E"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Twin Lakes Fen</w:t>
            </w:r>
          </w:p>
        </w:tc>
        <w:tc>
          <w:tcPr>
            <w:tcW w:w="1120" w:type="dxa"/>
            <w:tcBorders>
              <w:top w:val="nil"/>
              <w:left w:val="nil"/>
              <w:bottom w:val="nil"/>
              <w:right w:val="nil"/>
            </w:tcBorders>
            <w:shd w:val="clear" w:color="auto" w:fill="auto"/>
            <w:noWrap/>
            <w:vAlign w:val="bottom"/>
            <w:hideMark/>
          </w:tcPr>
          <w:p w14:paraId="3030E308" w14:textId="77777777" w:rsidR="00102CC5" w:rsidRPr="00102CC5" w:rsidRDefault="00102CC5" w:rsidP="00102CC5">
            <w:pPr>
              <w:rPr>
                <w:rFonts w:ascii="Calibri" w:hAnsi="Calibri" w:cs="Calibri"/>
                <w:color w:val="000000"/>
                <w:szCs w:val="22"/>
              </w:rPr>
            </w:pPr>
          </w:p>
        </w:tc>
        <w:tc>
          <w:tcPr>
            <w:tcW w:w="1000" w:type="dxa"/>
            <w:tcBorders>
              <w:top w:val="nil"/>
              <w:left w:val="nil"/>
              <w:bottom w:val="nil"/>
              <w:right w:val="nil"/>
            </w:tcBorders>
            <w:shd w:val="clear" w:color="auto" w:fill="auto"/>
            <w:noWrap/>
            <w:vAlign w:val="bottom"/>
            <w:hideMark/>
          </w:tcPr>
          <w:p w14:paraId="5E8280BF"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6FC7BC92" w14:textId="77777777" w:rsidTr="00102CC5">
        <w:trPr>
          <w:trHeight w:val="300"/>
        </w:trPr>
        <w:tc>
          <w:tcPr>
            <w:tcW w:w="3220" w:type="dxa"/>
            <w:tcBorders>
              <w:top w:val="nil"/>
              <w:left w:val="nil"/>
              <w:bottom w:val="nil"/>
              <w:right w:val="nil"/>
            </w:tcBorders>
            <w:shd w:val="clear" w:color="auto" w:fill="auto"/>
            <w:noWrap/>
            <w:vAlign w:val="bottom"/>
            <w:hideMark/>
          </w:tcPr>
          <w:p w14:paraId="31127537" w14:textId="77777777" w:rsidR="00102CC5" w:rsidRPr="00102CC5" w:rsidRDefault="00102CC5" w:rsidP="00102CC5">
            <w:pPr>
              <w:rPr>
                <w:rFonts w:ascii="Calibri" w:hAnsi="Calibri" w:cs="Calibri"/>
                <w:b/>
                <w:bCs/>
                <w:color w:val="000000"/>
                <w:szCs w:val="22"/>
              </w:rPr>
            </w:pPr>
            <w:r w:rsidRPr="00102CC5">
              <w:rPr>
                <w:rFonts w:ascii="Calibri" w:hAnsi="Calibri" w:cs="Calibri"/>
                <w:b/>
                <w:bCs/>
                <w:color w:val="000000"/>
                <w:sz w:val="22"/>
                <w:szCs w:val="22"/>
              </w:rPr>
              <w:t>Valley County</w:t>
            </w:r>
          </w:p>
        </w:tc>
        <w:tc>
          <w:tcPr>
            <w:tcW w:w="1120" w:type="dxa"/>
            <w:tcBorders>
              <w:top w:val="nil"/>
              <w:left w:val="nil"/>
              <w:bottom w:val="nil"/>
              <w:right w:val="nil"/>
            </w:tcBorders>
            <w:shd w:val="clear" w:color="auto" w:fill="auto"/>
            <w:noWrap/>
            <w:vAlign w:val="bottom"/>
            <w:hideMark/>
          </w:tcPr>
          <w:p w14:paraId="2C277E39" w14:textId="77777777" w:rsidR="00102CC5" w:rsidRPr="00102CC5" w:rsidRDefault="00102CC5" w:rsidP="00102CC5">
            <w:pPr>
              <w:rPr>
                <w:rFonts w:ascii="Calibri" w:hAnsi="Calibri" w:cs="Calibri"/>
                <w:b/>
                <w:bCs/>
                <w:color w:val="000000"/>
                <w:szCs w:val="22"/>
              </w:rPr>
            </w:pPr>
          </w:p>
        </w:tc>
        <w:tc>
          <w:tcPr>
            <w:tcW w:w="1000" w:type="dxa"/>
            <w:tcBorders>
              <w:top w:val="nil"/>
              <w:left w:val="nil"/>
              <w:bottom w:val="nil"/>
              <w:right w:val="nil"/>
            </w:tcBorders>
            <w:shd w:val="clear" w:color="auto" w:fill="auto"/>
            <w:noWrap/>
            <w:vAlign w:val="bottom"/>
            <w:hideMark/>
          </w:tcPr>
          <w:p w14:paraId="02220FE0" w14:textId="77777777" w:rsidR="00102CC5" w:rsidRPr="00102CC5" w:rsidRDefault="00102CC5" w:rsidP="00102CC5">
            <w:pPr>
              <w:jc w:val="center"/>
              <w:rPr>
                <w:sz w:val="20"/>
              </w:rPr>
            </w:pPr>
          </w:p>
        </w:tc>
      </w:tr>
      <w:tr w:rsidR="00102CC5" w:rsidRPr="00102CC5" w14:paraId="75A01A5A" w14:textId="77777777" w:rsidTr="00102CC5">
        <w:trPr>
          <w:trHeight w:val="300"/>
        </w:trPr>
        <w:tc>
          <w:tcPr>
            <w:tcW w:w="3220" w:type="dxa"/>
            <w:tcBorders>
              <w:top w:val="nil"/>
              <w:left w:val="nil"/>
              <w:bottom w:val="nil"/>
              <w:right w:val="nil"/>
            </w:tcBorders>
            <w:shd w:val="clear" w:color="auto" w:fill="auto"/>
            <w:noWrap/>
            <w:vAlign w:val="bottom"/>
            <w:hideMark/>
          </w:tcPr>
          <w:p w14:paraId="5C9A0FB8"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Mud Lake</w:t>
            </w:r>
          </w:p>
        </w:tc>
        <w:tc>
          <w:tcPr>
            <w:tcW w:w="1120" w:type="dxa"/>
            <w:tcBorders>
              <w:top w:val="nil"/>
              <w:left w:val="nil"/>
              <w:bottom w:val="nil"/>
              <w:right w:val="nil"/>
            </w:tcBorders>
            <w:shd w:val="clear" w:color="auto" w:fill="auto"/>
            <w:noWrap/>
            <w:vAlign w:val="bottom"/>
            <w:hideMark/>
          </w:tcPr>
          <w:p w14:paraId="1D59FF28"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209E57E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r w:rsidR="00102CC5" w:rsidRPr="00102CC5" w14:paraId="274E5136" w14:textId="77777777" w:rsidTr="00102CC5">
        <w:trPr>
          <w:trHeight w:val="300"/>
        </w:trPr>
        <w:tc>
          <w:tcPr>
            <w:tcW w:w="3220" w:type="dxa"/>
            <w:tcBorders>
              <w:top w:val="nil"/>
              <w:left w:val="nil"/>
              <w:bottom w:val="nil"/>
              <w:right w:val="nil"/>
            </w:tcBorders>
            <w:shd w:val="clear" w:color="auto" w:fill="auto"/>
            <w:noWrap/>
            <w:vAlign w:val="bottom"/>
            <w:hideMark/>
          </w:tcPr>
          <w:p w14:paraId="1A1FE72F"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Tule Lake</w:t>
            </w:r>
          </w:p>
        </w:tc>
        <w:tc>
          <w:tcPr>
            <w:tcW w:w="1120" w:type="dxa"/>
            <w:tcBorders>
              <w:top w:val="nil"/>
              <w:left w:val="nil"/>
              <w:bottom w:val="nil"/>
              <w:right w:val="nil"/>
            </w:tcBorders>
            <w:shd w:val="clear" w:color="auto" w:fill="auto"/>
            <w:noWrap/>
            <w:vAlign w:val="bottom"/>
            <w:hideMark/>
          </w:tcPr>
          <w:p w14:paraId="54F4AC8C"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c>
          <w:tcPr>
            <w:tcW w:w="1000" w:type="dxa"/>
            <w:tcBorders>
              <w:top w:val="nil"/>
              <w:left w:val="nil"/>
              <w:bottom w:val="nil"/>
              <w:right w:val="nil"/>
            </w:tcBorders>
            <w:shd w:val="clear" w:color="auto" w:fill="auto"/>
            <w:noWrap/>
            <w:vAlign w:val="bottom"/>
            <w:hideMark/>
          </w:tcPr>
          <w:p w14:paraId="498C52B9" w14:textId="77777777" w:rsidR="00102CC5" w:rsidRPr="00102CC5" w:rsidRDefault="00102CC5" w:rsidP="00102CC5">
            <w:pPr>
              <w:jc w:val="center"/>
              <w:rPr>
                <w:rFonts w:ascii="Calibri" w:hAnsi="Calibri" w:cs="Calibri"/>
                <w:color w:val="000000"/>
                <w:szCs w:val="22"/>
              </w:rPr>
            </w:pPr>
          </w:p>
        </w:tc>
      </w:tr>
      <w:tr w:rsidR="00102CC5" w:rsidRPr="00102CC5" w14:paraId="6EF94432" w14:textId="77777777" w:rsidTr="00102CC5">
        <w:trPr>
          <w:trHeight w:val="300"/>
        </w:trPr>
        <w:tc>
          <w:tcPr>
            <w:tcW w:w="3220" w:type="dxa"/>
            <w:tcBorders>
              <w:top w:val="nil"/>
              <w:left w:val="nil"/>
              <w:bottom w:val="nil"/>
              <w:right w:val="nil"/>
            </w:tcBorders>
            <w:shd w:val="clear" w:color="auto" w:fill="auto"/>
            <w:noWrap/>
            <w:vAlign w:val="bottom"/>
            <w:hideMark/>
          </w:tcPr>
          <w:p w14:paraId="028E3B78" w14:textId="77777777" w:rsidR="00102CC5" w:rsidRPr="00102CC5" w:rsidRDefault="00102CC5" w:rsidP="00102CC5">
            <w:pPr>
              <w:rPr>
                <w:rFonts w:ascii="Calibri" w:hAnsi="Calibri" w:cs="Calibri"/>
                <w:color w:val="000000"/>
                <w:szCs w:val="22"/>
              </w:rPr>
            </w:pPr>
            <w:r w:rsidRPr="00102CC5">
              <w:rPr>
                <w:rFonts w:ascii="Calibri" w:hAnsi="Calibri" w:cs="Calibri"/>
                <w:color w:val="000000"/>
                <w:sz w:val="22"/>
                <w:szCs w:val="22"/>
              </w:rPr>
              <w:t>Warm Lake</w:t>
            </w:r>
          </w:p>
        </w:tc>
        <w:tc>
          <w:tcPr>
            <w:tcW w:w="1120" w:type="dxa"/>
            <w:tcBorders>
              <w:top w:val="nil"/>
              <w:left w:val="nil"/>
              <w:bottom w:val="nil"/>
              <w:right w:val="nil"/>
            </w:tcBorders>
            <w:shd w:val="clear" w:color="auto" w:fill="auto"/>
            <w:noWrap/>
            <w:vAlign w:val="bottom"/>
            <w:hideMark/>
          </w:tcPr>
          <w:p w14:paraId="258C1C93" w14:textId="77777777" w:rsidR="00102CC5" w:rsidRPr="00102CC5" w:rsidRDefault="00102CC5" w:rsidP="00102CC5">
            <w:pPr>
              <w:rPr>
                <w:rFonts w:ascii="Calibri" w:hAnsi="Calibri" w:cs="Calibri"/>
                <w:color w:val="000000"/>
                <w:szCs w:val="22"/>
              </w:rPr>
            </w:pPr>
          </w:p>
        </w:tc>
        <w:tc>
          <w:tcPr>
            <w:tcW w:w="1000" w:type="dxa"/>
            <w:tcBorders>
              <w:top w:val="nil"/>
              <w:left w:val="nil"/>
              <w:bottom w:val="nil"/>
              <w:right w:val="nil"/>
            </w:tcBorders>
            <w:shd w:val="clear" w:color="auto" w:fill="auto"/>
            <w:noWrap/>
            <w:vAlign w:val="bottom"/>
            <w:hideMark/>
          </w:tcPr>
          <w:p w14:paraId="0B30ECCE" w14:textId="77777777" w:rsidR="00102CC5" w:rsidRPr="00102CC5" w:rsidRDefault="00102CC5" w:rsidP="00102CC5">
            <w:pPr>
              <w:jc w:val="center"/>
              <w:rPr>
                <w:rFonts w:ascii="Calibri" w:hAnsi="Calibri" w:cs="Calibri"/>
                <w:color w:val="000000"/>
                <w:szCs w:val="22"/>
              </w:rPr>
            </w:pPr>
            <w:r w:rsidRPr="00102CC5">
              <w:rPr>
                <w:rFonts w:ascii="Calibri" w:hAnsi="Calibri" w:cs="Calibri"/>
                <w:color w:val="000000"/>
                <w:sz w:val="22"/>
                <w:szCs w:val="22"/>
              </w:rPr>
              <w:t>X</w:t>
            </w:r>
          </w:p>
        </w:tc>
      </w:tr>
    </w:tbl>
    <w:p w14:paraId="286EA57A" w14:textId="63BE9905" w:rsidR="00BD7EDF" w:rsidRPr="00102CC5" w:rsidRDefault="00102CC5" w:rsidP="00100300">
      <w:pPr>
        <w:rPr>
          <w:rFonts w:ascii="Arial" w:hAnsi="Arial" w:cs="Arial"/>
          <w:b/>
          <w:color w:val="000000"/>
          <w:sz w:val="22"/>
          <w:szCs w:val="22"/>
        </w:rPr>
      </w:pPr>
      <w:r w:rsidRPr="00102CC5">
        <w:rPr>
          <w:rFonts w:ascii="Arial" w:hAnsi="Arial" w:cs="Arial"/>
          <w:b/>
          <w:color w:val="000000"/>
          <w:sz w:val="22"/>
          <w:szCs w:val="22"/>
        </w:rPr>
        <w:t>*Listed as an associated species in another species EO record</w:t>
      </w:r>
    </w:p>
    <w:p w14:paraId="35F64E78" w14:textId="77777777" w:rsidR="00102CC5" w:rsidRPr="007C7859" w:rsidRDefault="00102CC5" w:rsidP="00100300">
      <w:pPr>
        <w:rPr>
          <w:rFonts w:ascii="Arial" w:hAnsi="Arial" w:cs="Arial"/>
          <w:i/>
          <w:color w:val="000000"/>
          <w:sz w:val="22"/>
          <w:szCs w:val="22"/>
        </w:rPr>
      </w:pPr>
    </w:p>
    <w:p w14:paraId="37CF0E5D" w14:textId="77777777" w:rsidR="002E6F9A" w:rsidRPr="00762F11" w:rsidRDefault="002E6F9A" w:rsidP="007C7859">
      <w:pPr>
        <w:rPr>
          <w:rFonts w:ascii="Arial" w:hAnsi="Arial" w:cs="Arial"/>
          <w:b/>
          <w:color w:val="000000"/>
          <w:sz w:val="22"/>
          <w:szCs w:val="22"/>
        </w:rPr>
      </w:pPr>
      <w:r w:rsidRPr="00762F11">
        <w:rPr>
          <w:rFonts w:ascii="Arial" w:hAnsi="Arial" w:cs="Arial"/>
          <w:b/>
          <w:color w:val="000000"/>
          <w:sz w:val="22"/>
          <w:szCs w:val="22"/>
          <w:u w:val="single"/>
        </w:rPr>
        <w:t>Literature Records</w:t>
      </w:r>
      <w:r w:rsidRPr="00762F11">
        <w:rPr>
          <w:rFonts w:ascii="Arial" w:hAnsi="Arial" w:cs="Arial"/>
          <w:b/>
          <w:color w:val="000000"/>
          <w:sz w:val="22"/>
          <w:szCs w:val="22"/>
        </w:rPr>
        <w:t>:</w:t>
      </w:r>
      <w:r w:rsidR="00ED0361" w:rsidRPr="00762F11">
        <w:rPr>
          <w:rFonts w:ascii="Arial" w:hAnsi="Arial" w:cs="Arial"/>
          <w:b/>
          <w:color w:val="000000"/>
          <w:sz w:val="22"/>
          <w:szCs w:val="22"/>
        </w:rPr>
        <w:t xml:space="preserve">  </w:t>
      </w:r>
    </w:p>
    <w:p w14:paraId="1D66E5D8" w14:textId="77777777" w:rsidR="006545B7" w:rsidRDefault="006545B7" w:rsidP="007C7859">
      <w:pPr>
        <w:rPr>
          <w:rFonts w:ascii="Arial" w:hAnsi="Arial" w:cs="Arial"/>
          <w:color w:val="000000"/>
          <w:sz w:val="22"/>
          <w:szCs w:val="22"/>
        </w:rPr>
      </w:pPr>
    </w:p>
    <w:p w14:paraId="0F8C6411" w14:textId="77815B4D" w:rsidR="006545B7" w:rsidRPr="00762F11" w:rsidRDefault="006545B7" w:rsidP="007C7859">
      <w:pPr>
        <w:rPr>
          <w:rFonts w:ascii="Arial" w:hAnsi="Arial" w:cs="Arial"/>
          <w:color w:val="000000"/>
          <w:sz w:val="22"/>
          <w:szCs w:val="22"/>
        </w:rPr>
      </w:pPr>
      <w:r w:rsidRPr="00102CC5">
        <w:rPr>
          <w:rFonts w:ascii="Arial" w:hAnsi="Arial" w:cs="Arial"/>
          <w:b/>
          <w:color w:val="000000"/>
          <w:sz w:val="22"/>
          <w:szCs w:val="22"/>
          <w:u w:val="single"/>
        </w:rPr>
        <w:t>Databases/Herbaria consulted (</w:t>
      </w:r>
      <w:r w:rsidR="00523932" w:rsidRPr="00102CC5">
        <w:rPr>
          <w:rFonts w:ascii="Arial" w:hAnsi="Arial" w:cs="Arial"/>
          <w:b/>
          <w:color w:val="000000"/>
          <w:sz w:val="22"/>
          <w:szCs w:val="22"/>
          <w:u w:val="single"/>
        </w:rPr>
        <w:t>December 2021</w:t>
      </w:r>
      <w:r w:rsidRPr="00102CC5">
        <w:rPr>
          <w:rFonts w:ascii="Arial" w:hAnsi="Arial" w:cs="Arial"/>
          <w:b/>
          <w:color w:val="000000"/>
          <w:sz w:val="22"/>
          <w:szCs w:val="22"/>
          <w:u w:val="single"/>
        </w:rPr>
        <w:t>)</w:t>
      </w:r>
      <w:r w:rsidRPr="00102CC5">
        <w:rPr>
          <w:rFonts w:ascii="Arial" w:hAnsi="Arial" w:cs="Arial"/>
          <w:b/>
          <w:color w:val="000000"/>
          <w:sz w:val="22"/>
          <w:szCs w:val="22"/>
        </w:rPr>
        <w:t>:</w:t>
      </w:r>
      <w:r w:rsidR="00102CC5">
        <w:rPr>
          <w:rFonts w:ascii="Arial" w:hAnsi="Arial" w:cs="Arial"/>
          <w:b/>
          <w:color w:val="000000"/>
          <w:sz w:val="22"/>
          <w:szCs w:val="22"/>
        </w:rPr>
        <w:t xml:space="preserve">  </w:t>
      </w:r>
      <w:r w:rsidR="00762F11" w:rsidRPr="00762F11">
        <w:rPr>
          <w:rFonts w:ascii="Arial" w:hAnsi="Arial" w:cs="Arial"/>
          <w:color w:val="000000"/>
          <w:sz w:val="22"/>
          <w:szCs w:val="22"/>
        </w:rPr>
        <w:t xml:space="preserve">USDA </w:t>
      </w:r>
      <w:r w:rsidR="00762F11">
        <w:rPr>
          <w:rFonts w:ascii="Arial" w:hAnsi="Arial" w:cs="Arial"/>
          <w:color w:val="000000"/>
          <w:sz w:val="22"/>
          <w:szCs w:val="22"/>
        </w:rPr>
        <w:t>PLANTS, BONAP, NatureServe, Flora of North America, and Consortium of Pacific Northwest Herbaria</w:t>
      </w:r>
    </w:p>
    <w:p w14:paraId="5AAEB026" w14:textId="7AA88C33" w:rsidR="00A86D10" w:rsidRDefault="00A86D10" w:rsidP="007C7859">
      <w:pPr>
        <w:rPr>
          <w:rFonts w:ascii="Arial" w:hAnsi="Arial" w:cs="Arial"/>
          <w:i/>
          <w:color w:val="000000"/>
          <w:sz w:val="22"/>
          <w:szCs w:val="22"/>
        </w:rPr>
      </w:pPr>
    </w:p>
    <w:p w14:paraId="2F177E09" w14:textId="4CBBAD82" w:rsidR="00A86D10" w:rsidRPr="00762F11" w:rsidRDefault="00A86D10" w:rsidP="007C7859">
      <w:pPr>
        <w:rPr>
          <w:rFonts w:ascii="Arial" w:hAnsi="Arial" w:cs="Arial"/>
          <w:b/>
          <w:color w:val="000000"/>
          <w:sz w:val="22"/>
          <w:szCs w:val="22"/>
        </w:rPr>
      </w:pPr>
      <w:r w:rsidRPr="00762F11">
        <w:rPr>
          <w:rFonts w:ascii="Arial" w:hAnsi="Arial" w:cs="Arial"/>
          <w:b/>
          <w:color w:val="000000"/>
          <w:sz w:val="22"/>
          <w:szCs w:val="22"/>
          <w:u w:val="single"/>
        </w:rPr>
        <w:t>Research Notes</w:t>
      </w:r>
      <w:r w:rsidRPr="00762F11">
        <w:rPr>
          <w:rFonts w:ascii="Arial" w:hAnsi="Arial" w:cs="Arial"/>
          <w:b/>
          <w:color w:val="000000"/>
          <w:sz w:val="22"/>
          <w:szCs w:val="22"/>
        </w:rPr>
        <w:t xml:space="preserve">:  </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lastRenderedPageBreak/>
        <w:tab/>
      </w:r>
    </w:p>
    <w:p w14:paraId="39BA2D5D" w14:textId="243426D1" w:rsidR="002E6F9A" w:rsidRPr="00ED0361" w:rsidRDefault="002E6F9A" w:rsidP="00100300">
      <w:pPr>
        <w:outlineLvl w:val="0"/>
        <w:rPr>
          <w:rFonts w:ascii="Arial" w:hAnsi="Arial" w:cs="Arial"/>
          <w:color w:val="000000"/>
          <w:sz w:val="22"/>
          <w:szCs w:val="22"/>
        </w:rPr>
      </w:pPr>
      <w:r w:rsidRPr="00E61E34">
        <w:rPr>
          <w:rFonts w:ascii="Arial" w:hAnsi="Arial" w:cs="Arial"/>
          <w:b/>
          <w:color w:val="000000"/>
          <w:sz w:val="22"/>
          <w:szCs w:val="22"/>
          <w:u w:val="single"/>
        </w:rPr>
        <w:t>Number of Occurrences</w:t>
      </w:r>
      <w:r w:rsidRPr="00E61E34">
        <w:rPr>
          <w:rFonts w:ascii="Arial" w:hAnsi="Arial" w:cs="Arial"/>
          <w:b/>
          <w:color w:val="000000"/>
          <w:sz w:val="22"/>
          <w:szCs w:val="22"/>
        </w:rPr>
        <w:t>:</w:t>
      </w:r>
      <w:r w:rsidR="00ED0361">
        <w:rPr>
          <w:rFonts w:ascii="Arial" w:hAnsi="Arial" w:cs="Arial"/>
          <w:color w:val="000000"/>
          <w:sz w:val="22"/>
          <w:szCs w:val="22"/>
        </w:rPr>
        <w:t xml:space="preserve">  </w:t>
      </w:r>
      <w:r w:rsidR="00762F11" w:rsidRPr="00E61E34">
        <w:rPr>
          <w:rFonts w:ascii="Arial" w:hAnsi="Arial" w:cs="Arial"/>
          <w:b/>
          <w:color w:val="000000"/>
          <w:sz w:val="22"/>
          <w:szCs w:val="22"/>
        </w:rPr>
        <w:t>[</w:t>
      </w:r>
      <w:r w:rsidR="00E61E34" w:rsidRPr="00E61E34">
        <w:rPr>
          <w:rFonts w:ascii="Arial" w:hAnsi="Arial" w:cs="Arial"/>
          <w:b/>
          <w:color w:val="000000"/>
          <w:sz w:val="22"/>
          <w:szCs w:val="22"/>
        </w:rPr>
        <w:t>C</w:t>
      </w:r>
      <w:r w:rsidR="00762F11" w:rsidRPr="00E61E34">
        <w:rPr>
          <w:rFonts w:ascii="Arial" w:hAnsi="Arial" w:cs="Arial"/>
          <w:b/>
          <w:color w:val="000000"/>
          <w:sz w:val="22"/>
          <w:szCs w:val="22"/>
        </w:rPr>
        <w:t>]</w:t>
      </w:r>
      <w:r w:rsidR="00762F11">
        <w:rPr>
          <w:rFonts w:ascii="Arial" w:hAnsi="Arial" w:cs="Arial"/>
          <w:color w:val="000000"/>
          <w:sz w:val="22"/>
          <w:szCs w:val="22"/>
        </w:rPr>
        <w:t xml:space="preserve"> 24 distinct population locations</w:t>
      </w:r>
    </w:p>
    <w:p w14:paraId="366B2BC4" w14:textId="77777777" w:rsidR="002E6F9A" w:rsidRPr="007C7859" w:rsidRDefault="002E6F9A" w:rsidP="00100300">
      <w:pPr>
        <w:outlineLvl w:val="0"/>
        <w:rPr>
          <w:rFonts w:ascii="Arial" w:hAnsi="Arial" w:cs="Arial"/>
          <w:i/>
          <w:color w:val="000000"/>
          <w:sz w:val="22"/>
          <w:szCs w:val="22"/>
        </w:rPr>
      </w:pPr>
    </w:p>
    <w:p w14:paraId="487AD605" w14:textId="7FC1E2FC" w:rsidR="002E6F9A" w:rsidRPr="00ED0361" w:rsidRDefault="002E6F9A" w:rsidP="00100300">
      <w:pPr>
        <w:outlineLvl w:val="0"/>
        <w:rPr>
          <w:rFonts w:ascii="Arial" w:hAnsi="Arial" w:cs="Arial"/>
          <w:color w:val="000000"/>
          <w:sz w:val="22"/>
          <w:szCs w:val="22"/>
        </w:rPr>
      </w:pPr>
      <w:r w:rsidRPr="00E61E34">
        <w:rPr>
          <w:rFonts w:ascii="Arial" w:hAnsi="Arial" w:cs="Arial"/>
          <w:b/>
          <w:color w:val="000000"/>
          <w:sz w:val="22"/>
          <w:szCs w:val="22"/>
          <w:u w:val="single"/>
        </w:rPr>
        <w:t>Population Size</w:t>
      </w:r>
      <w:r w:rsidRPr="00E61E34">
        <w:rPr>
          <w:rFonts w:ascii="Arial" w:hAnsi="Arial" w:cs="Arial"/>
          <w:b/>
          <w:color w:val="000000"/>
          <w:sz w:val="22"/>
          <w:szCs w:val="22"/>
        </w:rPr>
        <w:t>:</w:t>
      </w:r>
      <w:r w:rsidR="00ED0361">
        <w:rPr>
          <w:rFonts w:ascii="Arial" w:hAnsi="Arial" w:cs="Arial"/>
          <w:color w:val="000000"/>
          <w:sz w:val="22"/>
          <w:szCs w:val="22"/>
        </w:rPr>
        <w:t xml:space="preserve">  </w:t>
      </w:r>
      <w:r w:rsidR="00762F11" w:rsidRPr="00E61E34">
        <w:rPr>
          <w:rFonts w:ascii="Arial" w:hAnsi="Arial" w:cs="Arial"/>
          <w:b/>
          <w:color w:val="000000"/>
          <w:sz w:val="22"/>
          <w:szCs w:val="22"/>
        </w:rPr>
        <w:t>[</w:t>
      </w:r>
      <w:r w:rsidR="00E61E34" w:rsidRPr="00E61E34">
        <w:rPr>
          <w:rFonts w:ascii="Arial" w:hAnsi="Arial" w:cs="Arial"/>
          <w:b/>
          <w:color w:val="000000"/>
          <w:sz w:val="22"/>
          <w:szCs w:val="22"/>
        </w:rPr>
        <w:t>E</w:t>
      </w:r>
      <w:r w:rsidR="00762F11" w:rsidRPr="00E61E34">
        <w:rPr>
          <w:rFonts w:ascii="Arial" w:hAnsi="Arial" w:cs="Arial"/>
          <w:b/>
          <w:color w:val="000000"/>
          <w:sz w:val="22"/>
          <w:szCs w:val="22"/>
        </w:rPr>
        <w:t>]</w:t>
      </w:r>
      <w:r w:rsidR="00762F11">
        <w:rPr>
          <w:rFonts w:ascii="Arial" w:hAnsi="Arial" w:cs="Arial"/>
          <w:color w:val="000000"/>
          <w:sz w:val="22"/>
          <w:szCs w:val="22"/>
        </w:rPr>
        <w:t xml:space="preserve"> Unknown, but probably approaching 10,000</w:t>
      </w:r>
    </w:p>
    <w:p w14:paraId="2B715329" w14:textId="77777777" w:rsidR="002E6F9A" w:rsidRPr="007C7859" w:rsidRDefault="002E6F9A" w:rsidP="00100300">
      <w:pPr>
        <w:outlineLvl w:val="0"/>
        <w:rPr>
          <w:rFonts w:ascii="Arial" w:hAnsi="Arial" w:cs="Arial"/>
          <w:i/>
          <w:color w:val="000000"/>
          <w:sz w:val="22"/>
          <w:szCs w:val="22"/>
        </w:rPr>
      </w:pPr>
    </w:p>
    <w:p w14:paraId="35902177" w14:textId="4C2DCD31" w:rsidR="002E6F9A" w:rsidRPr="00ED0361" w:rsidRDefault="00BF1E07" w:rsidP="00100300">
      <w:pPr>
        <w:outlineLvl w:val="0"/>
        <w:rPr>
          <w:rFonts w:ascii="Arial" w:hAnsi="Arial" w:cs="Arial"/>
          <w:color w:val="000000"/>
          <w:sz w:val="22"/>
          <w:szCs w:val="22"/>
        </w:rPr>
      </w:pPr>
      <w:r w:rsidRPr="00E61E34">
        <w:rPr>
          <w:rFonts w:ascii="Arial" w:hAnsi="Arial" w:cs="Arial"/>
          <w:b/>
          <w:color w:val="000000"/>
          <w:sz w:val="22"/>
          <w:szCs w:val="22"/>
          <w:u w:val="single"/>
        </w:rPr>
        <w:t xml:space="preserve">Number of </w:t>
      </w:r>
      <w:r w:rsidR="002E6F9A" w:rsidRPr="00E61E34">
        <w:rPr>
          <w:rFonts w:ascii="Arial" w:hAnsi="Arial" w:cs="Arial"/>
          <w:b/>
          <w:color w:val="000000"/>
          <w:sz w:val="22"/>
          <w:szCs w:val="22"/>
          <w:u w:val="single"/>
        </w:rPr>
        <w:t>Occurrences</w:t>
      </w:r>
      <w:r w:rsidRPr="00E61E34">
        <w:rPr>
          <w:rFonts w:ascii="Arial" w:hAnsi="Arial" w:cs="Arial"/>
          <w:b/>
          <w:color w:val="000000"/>
          <w:sz w:val="22"/>
          <w:szCs w:val="22"/>
          <w:u w:val="single"/>
        </w:rPr>
        <w:t xml:space="preserve"> with Good V</w:t>
      </w:r>
      <w:r w:rsidR="002E6F9A" w:rsidRPr="00E61E34">
        <w:rPr>
          <w:rFonts w:ascii="Arial" w:hAnsi="Arial" w:cs="Arial"/>
          <w:b/>
          <w:color w:val="000000"/>
          <w:sz w:val="22"/>
          <w:szCs w:val="22"/>
          <w:u w:val="single"/>
        </w:rPr>
        <w:t>iability</w:t>
      </w:r>
      <w:r w:rsidR="002E6F9A" w:rsidRPr="00E61E34">
        <w:rPr>
          <w:rFonts w:ascii="Arial" w:hAnsi="Arial" w:cs="Arial"/>
          <w:b/>
          <w:color w:val="000000"/>
          <w:sz w:val="22"/>
          <w:szCs w:val="22"/>
        </w:rPr>
        <w:t>:</w:t>
      </w:r>
      <w:r w:rsidR="00ED0361" w:rsidRPr="00E61E34">
        <w:rPr>
          <w:rFonts w:ascii="Arial" w:hAnsi="Arial" w:cs="Arial"/>
          <w:b/>
          <w:color w:val="000000"/>
          <w:sz w:val="22"/>
          <w:szCs w:val="22"/>
        </w:rPr>
        <w:t xml:space="preserve">  </w:t>
      </w:r>
      <w:r w:rsidR="00762F11" w:rsidRPr="00E61E34">
        <w:rPr>
          <w:rFonts w:ascii="Arial" w:hAnsi="Arial" w:cs="Arial"/>
          <w:b/>
          <w:color w:val="000000"/>
          <w:sz w:val="22"/>
          <w:szCs w:val="22"/>
        </w:rPr>
        <w:t>[</w:t>
      </w:r>
      <w:r w:rsidR="00E61E34" w:rsidRPr="00E61E34">
        <w:rPr>
          <w:rFonts w:ascii="Arial" w:hAnsi="Arial" w:cs="Arial"/>
          <w:b/>
          <w:color w:val="000000"/>
          <w:sz w:val="22"/>
          <w:szCs w:val="22"/>
        </w:rPr>
        <w:t>D</w:t>
      </w:r>
      <w:r w:rsidR="00762F11" w:rsidRPr="00E61E34">
        <w:rPr>
          <w:rFonts w:ascii="Arial" w:hAnsi="Arial" w:cs="Arial"/>
          <w:b/>
          <w:color w:val="000000"/>
          <w:sz w:val="22"/>
          <w:szCs w:val="22"/>
        </w:rPr>
        <w:t>]</w:t>
      </w:r>
      <w:r w:rsidR="00762F11">
        <w:rPr>
          <w:rFonts w:ascii="Arial" w:hAnsi="Arial" w:cs="Arial"/>
          <w:color w:val="000000"/>
          <w:sz w:val="22"/>
          <w:szCs w:val="22"/>
        </w:rPr>
        <w:t xml:space="preserve"> Unknown, but probably at least 13 based on EO status of associated species</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6AEDBC83" w:rsidR="007C7859" w:rsidRPr="00E61E34" w:rsidRDefault="007C7859" w:rsidP="007C7859">
      <w:pPr>
        <w:outlineLvl w:val="0"/>
        <w:rPr>
          <w:rFonts w:ascii="Arial" w:hAnsi="Arial" w:cs="Arial"/>
          <w:color w:val="000000"/>
          <w:sz w:val="22"/>
          <w:szCs w:val="22"/>
        </w:rPr>
      </w:pPr>
      <w:r w:rsidRPr="00E61E34">
        <w:rPr>
          <w:rFonts w:ascii="Arial" w:hAnsi="Arial" w:cs="Arial"/>
          <w:b/>
          <w:color w:val="000000"/>
          <w:sz w:val="22"/>
          <w:szCs w:val="22"/>
          <w:u w:val="single"/>
        </w:rPr>
        <w:t>Threats</w:t>
      </w:r>
      <w:r w:rsidRPr="00E61E34">
        <w:rPr>
          <w:rFonts w:ascii="Arial" w:hAnsi="Arial" w:cs="Arial"/>
          <w:b/>
          <w:color w:val="000000"/>
          <w:sz w:val="22"/>
          <w:szCs w:val="22"/>
        </w:rPr>
        <w:t>:</w:t>
      </w:r>
      <w:r w:rsidR="00ED0361" w:rsidRPr="00E61E34">
        <w:rPr>
          <w:rFonts w:ascii="Arial" w:hAnsi="Arial" w:cs="Arial"/>
          <w:b/>
          <w:color w:val="000000"/>
          <w:sz w:val="22"/>
          <w:szCs w:val="22"/>
        </w:rPr>
        <w:t xml:space="preserve">  </w:t>
      </w:r>
      <w:r w:rsidR="00E61E34" w:rsidRPr="00E61E34">
        <w:rPr>
          <w:rFonts w:ascii="Arial" w:hAnsi="Arial" w:cs="Arial"/>
          <w:color w:val="000000"/>
          <w:sz w:val="22"/>
          <w:szCs w:val="22"/>
        </w:rPr>
        <w:t xml:space="preserve">Unknown, but probably similar to threats of </w:t>
      </w:r>
      <w:r w:rsidR="00E61E34" w:rsidRPr="00E61E34">
        <w:rPr>
          <w:rFonts w:ascii="Arial" w:hAnsi="Arial" w:cs="Arial"/>
          <w:i/>
          <w:color w:val="000000"/>
          <w:sz w:val="22"/>
          <w:szCs w:val="22"/>
        </w:rPr>
        <w:t>Carex magellanica</w:t>
      </w:r>
      <w:r w:rsidR="00E61E34" w:rsidRPr="00E61E34">
        <w:rPr>
          <w:rFonts w:ascii="Arial" w:hAnsi="Arial" w:cs="Arial"/>
          <w:color w:val="000000"/>
          <w:sz w:val="22"/>
          <w:szCs w:val="22"/>
        </w:rPr>
        <w:t xml:space="preserve"> ssp. </w:t>
      </w:r>
      <w:r w:rsidR="00E61E34" w:rsidRPr="00E61E34">
        <w:rPr>
          <w:rFonts w:ascii="Arial" w:hAnsi="Arial" w:cs="Arial"/>
          <w:i/>
          <w:color w:val="000000"/>
          <w:sz w:val="22"/>
          <w:szCs w:val="22"/>
        </w:rPr>
        <w:t>irrigua</w:t>
      </w:r>
      <w:r w:rsidR="00E61E34" w:rsidRPr="00E61E34">
        <w:rPr>
          <w:rFonts w:ascii="Arial" w:hAnsi="Arial" w:cs="Arial"/>
          <w:color w:val="000000"/>
          <w:sz w:val="22"/>
          <w:szCs w:val="22"/>
        </w:rPr>
        <w:t xml:space="preserve"> (Medium) and </w:t>
      </w:r>
      <w:r w:rsidR="00E61E34" w:rsidRPr="00E61E34">
        <w:rPr>
          <w:rFonts w:ascii="Arial" w:hAnsi="Arial" w:cs="Arial"/>
          <w:i/>
          <w:color w:val="000000"/>
          <w:sz w:val="22"/>
          <w:szCs w:val="22"/>
        </w:rPr>
        <w:t>Carex chordorrhiza</w:t>
      </w:r>
      <w:r w:rsidR="00E61E34" w:rsidRPr="00E61E34">
        <w:rPr>
          <w:rFonts w:ascii="Arial" w:hAnsi="Arial" w:cs="Arial"/>
          <w:color w:val="000000"/>
          <w:sz w:val="22"/>
          <w:szCs w:val="22"/>
        </w:rPr>
        <w:t xml:space="preserve"> (</w:t>
      </w:r>
      <w:r w:rsidR="001758DE">
        <w:rPr>
          <w:rFonts w:ascii="Arial" w:hAnsi="Arial" w:cs="Arial"/>
          <w:color w:val="000000"/>
          <w:sz w:val="22"/>
          <w:szCs w:val="22"/>
        </w:rPr>
        <w:t>High to medium</w:t>
      </w:r>
      <w:r w:rsidR="00E61E34" w:rsidRPr="00E61E34">
        <w:rPr>
          <w:rFonts w:ascii="Arial" w:hAnsi="Arial" w:cs="Arial"/>
          <w:color w:val="000000"/>
          <w:sz w:val="22"/>
          <w:szCs w:val="22"/>
        </w:rPr>
        <w:t>)</w:t>
      </w:r>
      <w:r w:rsidR="00E61E34">
        <w:rPr>
          <w:rFonts w:ascii="Arial" w:hAnsi="Arial" w:cs="Arial"/>
          <w:color w:val="000000"/>
          <w:sz w:val="22"/>
          <w:szCs w:val="22"/>
        </w:rPr>
        <w:t xml:space="preserve"> therefore </w:t>
      </w:r>
      <w:r w:rsidR="001758DE">
        <w:rPr>
          <w:rFonts w:ascii="Arial" w:hAnsi="Arial" w:cs="Arial"/>
          <w:color w:val="000000"/>
          <w:sz w:val="22"/>
          <w:szCs w:val="22"/>
        </w:rPr>
        <w:t>High to medium</w:t>
      </w:r>
      <w:r w:rsidR="00E61E34">
        <w:rPr>
          <w:rFonts w:ascii="Arial" w:hAnsi="Arial" w:cs="Arial"/>
          <w:color w:val="000000"/>
          <w:sz w:val="22"/>
          <w:szCs w:val="22"/>
        </w:rPr>
        <w:t>.</w:t>
      </w:r>
    </w:p>
    <w:p w14:paraId="6738B9E0" w14:textId="77777777" w:rsidR="00FD7B0D" w:rsidRPr="00ED0361" w:rsidRDefault="00FD7B0D" w:rsidP="007C7859">
      <w:pPr>
        <w:outlineLvl w:val="0"/>
        <w:rPr>
          <w:rFonts w:ascii="Arial" w:hAnsi="Arial" w:cs="Arial"/>
          <w:color w:val="000000"/>
          <w:sz w:val="22"/>
          <w:szCs w:val="22"/>
        </w:rPr>
      </w:pPr>
    </w:p>
    <w:p w14:paraId="41B0F438" w14:textId="203F9122" w:rsidR="007C7859" w:rsidRDefault="00FD7B0D" w:rsidP="00100300">
      <w:pPr>
        <w:outlineLvl w:val="0"/>
        <w:rPr>
          <w:rFonts w:ascii="Arial" w:hAnsi="Arial" w:cs="Arial"/>
          <w:i/>
          <w:color w:val="000000"/>
          <w:sz w:val="22"/>
          <w:szCs w:val="22"/>
        </w:rPr>
      </w:pPr>
      <w:r w:rsidRPr="00E61E34">
        <w:rPr>
          <w:rFonts w:ascii="Arial" w:hAnsi="Arial" w:cs="Arial"/>
          <w:b/>
          <w:color w:val="000000"/>
          <w:sz w:val="22"/>
          <w:szCs w:val="22"/>
          <w:u w:val="single"/>
        </w:rPr>
        <w:t>Overall Threat Rank</w:t>
      </w:r>
      <w:r w:rsidRPr="00E61E34">
        <w:rPr>
          <w:rFonts w:ascii="Arial" w:hAnsi="Arial" w:cs="Arial"/>
          <w:b/>
          <w:color w:val="000000"/>
          <w:sz w:val="22"/>
          <w:szCs w:val="22"/>
        </w:rPr>
        <w:t>:</w:t>
      </w:r>
      <w:r w:rsidR="00E61E34">
        <w:rPr>
          <w:rFonts w:ascii="Arial" w:hAnsi="Arial" w:cs="Arial"/>
          <w:i/>
          <w:color w:val="000000"/>
          <w:sz w:val="22"/>
          <w:szCs w:val="22"/>
        </w:rPr>
        <w:t xml:space="preserve">  </w:t>
      </w:r>
      <w:r w:rsidR="00E61E34">
        <w:rPr>
          <w:rFonts w:ascii="Arial" w:hAnsi="Arial" w:cs="Arial"/>
          <w:b/>
          <w:color w:val="000000"/>
          <w:sz w:val="22"/>
          <w:szCs w:val="22"/>
        </w:rPr>
        <w:t>[</w:t>
      </w:r>
      <w:r w:rsidR="001758DE">
        <w:rPr>
          <w:rFonts w:ascii="Arial" w:hAnsi="Arial" w:cs="Arial"/>
          <w:b/>
          <w:color w:val="000000"/>
          <w:sz w:val="22"/>
          <w:szCs w:val="22"/>
        </w:rPr>
        <w:t>BC</w:t>
      </w:r>
      <w:r w:rsidR="00E61E34">
        <w:rPr>
          <w:rFonts w:ascii="Arial" w:hAnsi="Arial" w:cs="Arial"/>
          <w:b/>
          <w:color w:val="000000"/>
          <w:sz w:val="22"/>
          <w:szCs w:val="22"/>
        </w:rPr>
        <w:t xml:space="preserve">] </w:t>
      </w:r>
      <w:r w:rsidR="007E64E4">
        <w:rPr>
          <w:rFonts w:ascii="Arial" w:hAnsi="Arial" w:cs="Arial"/>
          <w:color w:val="000000"/>
          <w:sz w:val="22"/>
          <w:szCs w:val="22"/>
        </w:rPr>
        <w:t>High to Medium</w:t>
      </w:r>
    </w:p>
    <w:p w14:paraId="54989121" w14:textId="77777777" w:rsidR="00FD7B0D" w:rsidRPr="007C7859" w:rsidRDefault="00FD7B0D" w:rsidP="00100300">
      <w:pPr>
        <w:outlineLvl w:val="0"/>
        <w:rPr>
          <w:rFonts w:ascii="Arial" w:hAnsi="Arial" w:cs="Arial"/>
          <w:i/>
          <w:color w:val="000000"/>
          <w:sz w:val="22"/>
          <w:szCs w:val="22"/>
        </w:rPr>
      </w:pPr>
    </w:p>
    <w:p w14:paraId="3C95EA5A" w14:textId="6D2D37A6" w:rsidR="007C7859" w:rsidRPr="00E61E34" w:rsidRDefault="007C7859" w:rsidP="007C7859">
      <w:pPr>
        <w:outlineLvl w:val="0"/>
        <w:rPr>
          <w:rFonts w:ascii="Arial" w:hAnsi="Arial" w:cs="Arial"/>
          <w:b/>
          <w:color w:val="000000"/>
          <w:sz w:val="22"/>
          <w:szCs w:val="22"/>
        </w:rPr>
      </w:pPr>
      <w:r w:rsidRPr="00E61E34">
        <w:rPr>
          <w:rFonts w:ascii="Arial" w:hAnsi="Arial" w:cs="Arial"/>
          <w:b/>
          <w:color w:val="000000"/>
          <w:sz w:val="22"/>
          <w:szCs w:val="22"/>
          <w:u w:val="single"/>
        </w:rPr>
        <w:t>Intrinsic Vulnerability</w:t>
      </w:r>
      <w:r w:rsidRPr="00E61E34">
        <w:rPr>
          <w:rFonts w:ascii="Arial" w:hAnsi="Arial" w:cs="Arial"/>
          <w:b/>
          <w:color w:val="000000"/>
          <w:sz w:val="22"/>
          <w:szCs w:val="22"/>
        </w:rPr>
        <w:t>:</w:t>
      </w:r>
      <w:r w:rsidR="00ED0361" w:rsidRPr="00E61E34">
        <w:rPr>
          <w:rFonts w:ascii="Arial" w:hAnsi="Arial" w:cs="Arial"/>
          <w:b/>
          <w:color w:val="000000"/>
          <w:sz w:val="22"/>
          <w:szCs w:val="22"/>
        </w:rPr>
        <w:t xml:space="preserve">  </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67A8B123"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Pr="007C7859">
        <w:rPr>
          <w:rFonts w:ascii="Arial" w:hAnsi="Arial" w:cs="Arial"/>
          <w:i/>
          <w:color w:val="000000"/>
          <w:sz w:val="22"/>
          <w:szCs w:val="22"/>
        </w:rPr>
        <w:t>:</w:t>
      </w:r>
      <w:r>
        <w:rPr>
          <w:rFonts w:ascii="Arial" w:hAnsi="Arial" w:cs="Arial"/>
          <w:color w:val="000000"/>
          <w:sz w:val="22"/>
          <w:szCs w:val="22"/>
        </w:rPr>
        <w:t xml:space="preserve">  </w:t>
      </w:r>
      <w:r w:rsidR="007E64E4">
        <w:rPr>
          <w:rFonts w:ascii="Arial" w:hAnsi="Arial" w:cs="Arial"/>
          <w:color w:val="000000"/>
          <w:sz w:val="22"/>
          <w:szCs w:val="22"/>
        </w:rPr>
        <w:t>Recommended</w:t>
      </w:r>
      <w:bookmarkStart w:id="1" w:name="_GoBack"/>
      <w:bookmarkEnd w:id="1"/>
      <w:r w:rsidR="002449D0">
        <w:rPr>
          <w:rFonts w:ascii="Arial" w:hAnsi="Arial" w:cs="Arial"/>
          <w:color w:val="000000"/>
          <w:sz w:val="22"/>
          <w:szCs w:val="22"/>
        </w:rPr>
        <w:t xml:space="preserve"> by North Idaho Rare Plant Working Group on 2021/12/14.</w:t>
      </w:r>
    </w:p>
    <w:p w14:paraId="04B55B53" w14:textId="77777777" w:rsidR="00231DFF" w:rsidRDefault="00231DFF" w:rsidP="00231DFF">
      <w:pPr>
        <w:outlineLvl w:val="0"/>
        <w:rPr>
          <w:rFonts w:ascii="Arial" w:hAnsi="Arial" w:cs="Arial"/>
          <w:color w:val="000000"/>
          <w:sz w:val="22"/>
          <w:szCs w:val="22"/>
        </w:rPr>
      </w:pPr>
    </w:p>
    <w:p w14:paraId="3C7D1FBF" w14:textId="3419F9D5"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1758DE" w:rsidRPr="007E64E4">
        <w:rPr>
          <w:rFonts w:ascii="Arial" w:hAnsi="Arial" w:cs="Arial"/>
          <w:b/>
          <w:color w:val="000000"/>
          <w:sz w:val="22"/>
          <w:szCs w:val="22"/>
        </w:rPr>
        <w:t>S3</w:t>
      </w:r>
    </w:p>
    <w:p w14:paraId="2737BCC1" w14:textId="77777777" w:rsidR="00231DFF" w:rsidRDefault="00231DFF" w:rsidP="00231DFF">
      <w:pPr>
        <w:outlineLvl w:val="0"/>
        <w:rPr>
          <w:rFonts w:ascii="Arial" w:hAnsi="Arial" w:cs="Arial"/>
          <w:color w:val="000000"/>
          <w:sz w:val="22"/>
          <w:szCs w:val="22"/>
        </w:rPr>
      </w:pPr>
    </w:p>
    <w:p w14:paraId="2050EDD7" w14:textId="73F4FABE" w:rsidR="00231DFF" w:rsidRPr="002449D0"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2449D0">
        <w:rPr>
          <w:rFonts w:ascii="Arial" w:hAnsi="Arial" w:cs="Arial"/>
          <w:i/>
          <w:color w:val="000000"/>
          <w:sz w:val="22"/>
          <w:szCs w:val="22"/>
        </w:rPr>
        <w:t xml:space="preserve"> </w:t>
      </w:r>
      <w:r w:rsidR="002449D0">
        <w:rPr>
          <w:rFonts w:ascii="Arial" w:hAnsi="Arial" w:cs="Arial"/>
          <w:color w:val="000000"/>
          <w:sz w:val="22"/>
          <w:szCs w:val="22"/>
        </w:rPr>
        <w:t>Tracking as a rare species not required as this species is co-located with many other rare species.  Most of the population locations already have some level of protection.</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28E6CAFE" w14:textId="77777777" w:rsidR="00C52CDB" w:rsidRDefault="00C52CDB" w:rsidP="00100300">
      <w:pPr>
        <w:rPr>
          <w:rFonts w:ascii="Arial" w:hAnsi="Arial" w:cs="Arial"/>
          <w:color w:val="000000"/>
          <w:sz w:val="22"/>
          <w:szCs w:val="22"/>
        </w:rPr>
      </w:pPr>
    </w:p>
    <w:p w14:paraId="78E4ACB1" w14:textId="07980234" w:rsidR="008622CF" w:rsidRPr="007E64E4" w:rsidRDefault="00100300" w:rsidP="00231DFF">
      <w:pPr>
        <w:rPr>
          <w:rFonts w:ascii="Arial" w:hAnsi="Arial" w:cs="Arial"/>
          <w:b/>
          <w:color w:val="000000"/>
          <w:sz w:val="22"/>
          <w:szCs w:val="22"/>
        </w:rPr>
        <w:sectPr w:rsidR="008622CF" w:rsidRPr="007E64E4" w:rsidSect="007E0C3A">
          <w:pgSz w:w="12240" w:h="15840"/>
          <w:pgMar w:top="1170" w:right="1440" w:bottom="1080" w:left="1440" w:header="720" w:footer="720" w:gutter="0"/>
          <w:cols w:space="720"/>
          <w:docGrid w:linePitch="360"/>
        </w:sect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r w:rsidR="007E64E4">
        <w:rPr>
          <w:rFonts w:ascii="Arial" w:hAnsi="Arial" w:cs="Arial"/>
          <w:color w:val="000000"/>
          <w:sz w:val="22"/>
          <w:szCs w:val="22"/>
        </w:rPr>
        <w:t>C</w:t>
      </w:r>
    </w:p>
    <w:p w14:paraId="77C1EB46" w14:textId="77777777" w:rsidR="008E40B6" w:rsidRPr="00426A83" w:rsidRDefault="00231DFF" w:rsidP="00426A83">
      <w:pPr>
        <w:rPr>
          <w:color w:val="215868" w:themeColor="accent5" w:themeShade="80"/>
          <w:sz w:val="20"/>
        </w:rPr>
      </w:pPr>
      <w:r w:rsidRPr="00440FE5">
        <w:rPr>
          <w:sz w:val="20"/>
          <w:vertAlign w:val="superscript"/>
        </w:rPr>
        <w:lastRenderedPageBreak/>
        <w:t>1</w:t>
      </w:r>
      <w:r w:rsidRPr="000B78D4">
        <w:rPr>
          <w:sz w:val="20"/>
        </w:rPr>
        <w:t>”</w:t>
      </w:r>
      <w:r w:rsidRPr="00426A83">
        <w:rPr>
          <w:color w:val="215868" w:themeColor="accent5" w:themeShade="80"/>
          <w:sz w:val="20"/>
        </w:rPr>
        <w:t xml:space="preserve">Scientific Name” and “Common Name” primarily refer to the scientific and common names used in </w:t>
      </w:r>
      <w:hyperlink r:id="rId9" w:history="1">
        <w:r w:rsidRPr="00426A83">
          <w:rPr>
            <w:rStyle w:val="Hyperlink"/>
            <w:color w:val="215868" w:themeColor="accent5" w:themeShade="80"/>
            <w:sz w:val="20"/>
          </w:rPr>
          <w:t>NatureServe Explorer</w:t>
        </w:r>
      </w:hyperlink>
      <w:r w:rsidRPr="00426A83">
        <w:rPr>
          <w:color w:val="215868" w:themeColor="accent5" w:themeShade="80"/>
          <w:sz w:val="20"/>
        </w:rPr>
        <w:t>, respectively. Names not used by NatureServe may be used under some circumstances (i.e., species not yet described, FNA accepted name not updated to NatureServe yet). Synonymous scientific names should be added to the “Synonym” column if applicable. In case when the “Scientific Name” is not the NatureServe name, where applicable, the NatureServe name will be provided under “Synonym” followed by “(NatureServe name)”.</w:t>
      </w:r>
    </w:p>
    <w:p w14:paraId="656BC8B3" w14:textId="77777777" w:rsidR="008E40B6" w:rsidRPr="00426A83" w:rsidRDefault="008E40B6" w:rsidP="00426A83">
      <w:pPr>
        <w:rPr>
          <w:color w:val="215868" w:themeColor="accent5" w:themeShade="80"/>
          <w:sz w:val="20"/>
        </w:rPr>
      </w:pPr>
    </w:p>
    <w:p w14:paraId="72FF66FF" w14:textId="54B45AB8" w:rsidR="008E40B6" w:rsidRDefault="00231DFF" w:rsidP="00426A83">
      <w:pPr>
        <w:rPr>
          <w:color w:val="215868" w:themeColor="accent5" w:themeShade="80"/>
          <w:sz w:val="20"/>
        </w:rPr>
      </w:pPr>
      <w:r w:rsidRPr="00426A83">
        <w:rPr>
          <w:color w:val="215868" w:themeColor="accent5" w:themeShade="80"/>
          <w:sz w:val="20"/>
          <w:vertAlign w:val="superscript"/>
        </w:rPr>
        <w:t>2</w:t>
      </w:r>
      <w:r w:rsidRPr="00426A83">
        <w:rPr>
          <w:color w:val="215868" w:themeColor="accent5" w:themeShade="80"/>
          <w:sz w:val="20"/>
        </w:rPr>
        <w:t>”</w:t>
      </w:r>
      <w:r w:rsidR="00EB4CFA">
        <w:rPr>
          <w:color w:val="215868" w:themeColor="accent5" w:themeShade="80"/>
          <w:sz w:val="20"/>
        </w:rPr>
        <w:t xml:space="preserve">2009 </w:t>
      </w:r>
      <w:r w:rsidRPr="00426A83">
        <w:rPr>
          <w:color w:val="215868" w:themeColor="accent5" w:themeShade="80"/>
          <w:sz w:val="20"/>
        </w:rPr>
        <w:t xml:space="preserve">INPS </w:t>
      </w:r>
      <w:r w:rsidR="00EB4CFA">
        <w:rPr>
          <w:color w:val="215868" w:themeColor="accent5" w:themeShade="80"/>
          <w:sz w:val="20"/>
        </w:rPr>
        <w:t>rank</w:t>
      </w:r>
      <w:r w:rsidRPr="00426A83">
        <w:rPr>
          <w:color w:val="215868" w:themeColor="accent5" w:themeShade="80"/>
          <w:sz w:val="20"/>
        </w:rPr>
        <w:t xml:space="preserve">” </w:t>
      </w:r>
      <w:r w:rsidR="00EB4CFA">
        <w:rPr>
          <w:color w:val="215868" w:themeColor="accent5" w:themeShade="80"/>
          <w:sz w:val="20"/>
        </w:rPr>
        <w:t>is</w:t>
      </w:r>
      <w:r w:rsidR="00EF3801">
        <w:rPr>
          <w:color w:val="215868" w:themeColor="accent5" w:themeShade="80"/>
          <w:sz w:val="20"/>
        </w:rPr>
        <w:t xml:space="preserve"> designation from 2009 list, or indicate “Not listed” if the plant is a new addition.  If a plant has been ranked at an RPC since 2009, note ranking and date here.</w:t>
      </w:r>
      <w:r w:rsidR="00FD7B0D">
        <w:rPr>
          <w:color w:val="215868" w:themeColor="accent5" w:themeShade="80"/>
          <w:sz w:val="20"/>
        </w:rPr>
        <w:t xml:space="preserve">  INPS status is RARE or Review.</w:t>
      </w:r>
    </w:p>
    <w:p w14:paraId="31797FD3" w14:textId="1D29919A" w:rsidR="00EF3801" w:rsidRDefault="00EF3801" w:rsidP="00426A83">
      <w:pPr>
        <w:rPr>
          <w:color w:val="215868" w:themeColor="accent5" w:themeShade="80"/>
          <w:sz w:val="20"/>
        </w:rPr>
      </w:pPr>
    </w:p>
    <w:p w14:paraId="4B1F3B06" w14:textId="26091731" w:rsidR="00231DFF" w:rsidRPr="00FD7B0D" w:rsidRDefault="00EF3801" w:rsidP="00231DFF">
      <w:pPr>
        <w:rPr>
          <w:color w:val="215868" w:themeColor="accent5" w:themeShade="80"/>
          <w:sz w:val="20"/>
        </w:rPr>
      </w:pPr>
      <w:r>
        <w:rPr>
          <w:color w:val="215868" w:themeColor="accent5" w:themeShade="80"/>
          <w:sz w:val="20"/>
        </w:rPr>
        <w:t>Agency Statuses are available from lists on the Forum under Conservation Rankings/ Forms and Definitions</w:t>
      </w:r>
    </w:p>
    <w:p w14:paraId="345D0E8B" w14:textId="238E8E7B" w:rsidR="00EF3801" w:rsidRPr="00426A83" w:rsidRDefault="00EF3801" w:rsidP="00231DFF">
      <w:pPr>
        <w:rPr>
          <w:rFonts w:ascii="Arial" w:hAnsi="Arial" w:cs="Arial"/>
          <w:color w:val="215868" w:themeColor="accent5" w:themeShade="80"/>
          <w:sz w:val="22"/>
          <w:szCs w:val="22"/>
        </w:rPr>
      </w:pPr>
    </w:p>
    <w:p w14:paraId="08282EB9"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3</w:t>
      </w:r>
      <w:r w:rsidRPr="00426A83">
        <w:rPr>
          <w:color w:val="215868" w:themeColor="accent5" w:themeShade="80"/>
          <w:sz w:val="20"/>
        </w:rPr>
        <w:t xml:space="preserve">”NatureServe Rank” is the NatureServe rank designated in </w:t>
      </w:r>
      <w:hyperlink r:id="rId10" w:history="1">
        <w:r w:rsidRPr="00426A83">
          <w:rPr>
            <w:rStyle w:val="Hyperlink"/>
            <w:color w:val="215868" w:themeColor="accent5" w:themeShade="80"/>
            <w:sz w:val="20"/>
          </w:rPr>
          <w:t>NatureServe Explorer</w:t>
        </w:r>
      </w:hyperlink>
      <w:r w:rsidRPr="00426A83">
        <w:rPr>
          <w:color w:val="215868" w:themeColor="accent5" w:themeShade="80"/>
          <w:sz w:val="20"/>
        </w:rPr>
        <w:t xml:space="preserve"> (dark gray, not bolded), which is replaced by updated ranks (</w:t>
      </w:r>
      <w:r w:rsidRPr="00426A83">
        <w:rPr>
          <w:b/>
          <w:color w:val="215868" w:themeColor="accent5" w:themeShade="80"/>
          <w:sz w:val="20"/>
        </w:rPr>
        <w:t>black,</w:t>
      </w:r>
      <w:r w:rsidRPr="00426A83">
        <w:rPr>
          <w:color w:val="215868" w:themeColor="accent5" w:themeShade="80"/>
          <w:sz w:val="20"/>
        </w:rPr>
        <w:t xml:space="preserve"> </w:t>
      </w:r>
      <w:r w:rsidRPr="00426A83">
        <w:rPr>
          <w:b/>
          <w:color w:val="215868" w:themeColor="accent5" w:themeShade="80"/>
          <w:sz w:val="20"/>
        </w:rPr>
        <w:t>bolded</w:t>
      </w:r>
      <w:r w:rsidRPr="00426A83">
        <w:rPr>
          <w:color w:val="215868" w:themeColor="accent5" w:themeShade="80"/>
          <w:sz w:val="20"/>
        </w:rPr>
        <w:t xml:space="preserve">) as IDNHP and INPS apply the </w:t>
      </w:r>
      <w:hyperlink r:id="rId11" w:history="1">
        <w:r w:rsidRPr="00426A83">
          <w:rPr>
            <w:rStyle w:val="Hyperlink"/>
            <w:color w:val="215868" w:themeColor="accent5" w:themeShade="80"/>
            <w:sz w:val="20"/>
          </w:rPr>
          <w:t>NatureServe Rank Calculator</w:t>
        </w:r>
      </w:hyperlink>
      <w:r w:rsidRPr="00426A83">
        <w:rPr>
          <w:color w:val="215868" w:themeColor="accent5" w:themeShade="80"/>
          <w:sz w:val="20"/>
        </w:rPr>
        <w:t>. A “+”follows the G and/or T rank if the species is an Idaho endemic and has the sole rank global and/or trinomial rank authority.</w:t>
      </w:r>
    </w:p>
    <w:p w14:paraId="08952502" w14:textId="77777777" w:rsidR="00C52CDB" w:rsidRPr="00426A83" w:rsidRDefault="00C52CDB" w:rsidP="00231DFF">
      <w:pPr>
        <w:rPr>
          <w:rFonts w:ascii="Arial" w:hAnsi="Arial" w:cs="Arial"/>
          <w:color w:val="215868" w:themeColor="accent5" w:themeShade="80"/>
          <w:sz w:val="22"/>
          <w:szCs w:val="22"/>
        </w:rPr>
      </w:pPr>
    </w:p>
    <w:p w14:paraId="5CB9813C"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5</w:t>
      </w:r>
      <w:r w:rsidRPr="00426A83">
        <w:rPr>
          <w:color w:val="215868" w:themeColor="accent5" w:themeShade="80"/>
          <w:sz w:val="20"/>
        </w:rPr>
        <w:t>”Date Ranked” is the date in month/year format, followed in parentheses by the NatureServe Rank Calculator version that was used for ranking the species.</w:t>
      </w:r>
    </w:p>
    <w:p w14:paraId="539FCDE3" w14:textId="77777777" w:rsidR="00C52CDB" w:rsidRPr="00426A83" w:rsidRDefault="00C52CDB" w:rsidP="00231DFF">
      <w:pPr>
        <w:rPr>
          <w:rFonts w:ascii="Arial" w:hAnsi="Arial" w:cs="Arial"/>
          <w:color w:val="215868" w:themeColor="accent5" w:themeShade="80"/>
          <w:sz w:val="22"/>
          <w:szCs w:val="22"/>
        </w:rPr>
      </w:pPr>
    </w:p>
    <w:p w14:paraId="34AA574E" w14:textId="6EB4C9DC" w:rsidR="008E40B6" w:rsidRPr="00426A83" w:rsidRDefault="00231DFF" w:rsidP="00426A83">
      <w:pPr>
        <w:rPr>
          <w:color w:val="215868" w:themeColor="accent5" w:themeShade="80"/>
          <w:sz w:val="20"/>
        </w:rPr>
      </w:pPr>
      <w:r w:rsidRPr="00426A83">
        <w:rPr>
          <w:color w:val="215868" w:themeColor="accent5" w:themeShade="80"/>
          <w:sz w:val="20"/>
          <w:vertAlign w:val="superscript"/>
        </w:rPr>
        <w:t>6</w:t>
      </w:r>
      <w:r w:rsidRPr="00426A83">
        <w:rPr>
          <w:color w:val="215868" w:themeColor="accent5" w:themeShade="80"/>
          <w:sz w:val="20"/>
        </w:rPr>
        <w:t xml:space="preserve">”Range Extent” </w:t>
      </w:r>
      <w:r w:rsidR="00FD7B0D">
        <w:rPr>
          <w:color w:val="215868" w:themeColor="accent5" w:themeShade="80"/>
          <w:sz w:val="20"/>
        </w:rPr>
        <w:t xml:space="preserve">descriptor </w:t>
      </w:r>
      <w:r w:rsidRPr="00426A83">
        <w:rPr>
          <w:color w:val="215868" w:themeColor="accent5" w:themeShade="80"/>
          <w:sz w:val="20"/>
        </w:rPr>
        <w:t>incorporates thresholds from the NatureServe Rank Calculator and from Walt Fertig’s Rare Plant Ranking System for the Utah Native Plant Society</w:t>
      </w:r>
      <w:r w:rsidR="008622CF" w:rsidRPr="00426A83">
        <w:rPr>
          <w:color w:val="215868" w:themeColor="accent5" w:themeShade="80"/>
          <w:sz w:val="20"/>
        </w:rPr>
        <w:t xml:space="preserve"> (see table below for land area in each Idaho county)</w:t>
      </w:r>
      <w:r w:rsidR="008255CF">
        <w:rPr>
          <w:color w:val="215868" w:themeColor="accent5" w:themeShade="80"/>
          <w:sz w:val="20"/>
        </w:rPr>
        <w:t>.  One or more term may apply</w:t>
      </w:r>
      <w:r w:rsidRPr="00426A83">
        <w:rPr>
          <w:color w:val="215868" w:themeColor="accent5" w:themeShade="80"/>
          <w:sz w:val="20"/>
        </w:rPr>
        <w:t>:</w:t>
      </w:r>
    </w:p>
    <w:p w14:paraId="05E41D03" w14:textId="3C507C82"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Local Endemic = &lt;5,000 km² (ca 2,000 mi² or 2% of Idaho)</w:t>
      </w:r>
    </w:p>
    <w:p w14:paraId="1B39AF1E" w14:textId="56DFD589"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Subregional Endemic = 5,000 to 20,000 km² (ca 2,000-8,000 mi² or 2-10% of Idaho)</w:t>
      </w:r>
    </w:p>
    <w:p w14:paraId="0EFFE020" w14:textId="5A24F291" w:rsidR="008E40B6" w:rsidRPr="00D573AB" w:rsidRDefault="00231DFF" w:rsidP="00D573AB">
      <w:pPr>
        <w:pStyle w:val="ListParagraph"/>
        <w:numPr>
          <w:ilvl w:val="1"/>
          <w:numId w:val="2"/>
        </w:numPr>
        <w:ind w:left="540"/>
        <w:rPr>
          <w:color w:val="215868" w:themeColor="accent5" w:themeShade="80"/>
          <w:sz w:val="20"/>
        </w:rPr>
      </w:pPr>
      <w:r w:rsidRPr="00D573AB">
        <w:rPr>
          <w:color w:val="215868" w:themeColor="accent5" w:themeShade="80"/>
          <w:sz w:val="20"/>
        </w:rPr>
        <w:t>Regional Endemic = 20,000 to 200,000 km² (ca 8,000-80,000 mi² or 10-92% of Idaho)</w:t>
      </w:r>
    </w:p>
    <w:p w14:paraId="3AEAEEDD" w14:textId="6AEC1CBF" w:rsidR="008E40B6" w:rsidRPr="000115DF" w:rsidRDefault="00231DFF" w:rsidP="000115DF">
      <w:pPr>
        <w:pStyle w:val="ListParagraph"/>
        <w:numPr>
          <w:ilvl w:val="0"/>
          <w:numId w:val="3"/>
        </w:numPr>
        <w:rPr>
          <w:color w:val="215868" w:themeColor="accent5" w:themeShade="80"/>
          <w:sz w:val="20"/>
        </w:rPr>
      </w:pPr>
      <w:r w:rsidRPr="000115DF">
        <w:rPr>
          <w:color w:val="215868" w:themeColor="accent5" w:themeShade="80"/>
          <w:sz w:val="20"/>
        </w:rPr>
        <w:t>Local, Subregional, and Regional Endemics are also designated as Core (≥50% of global range) or Edge (&lt;50% of global range) for the part of the species’ distribution in Idaho.</w:t>
      </w:r>
    </w:p>
    <w:p w14:paraId="61DA68CD"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Disjunct = Distribution in Idaho is isolated from the main, contiguous portion of a species’ range by a gap</w:t>
      </w:r>
      <w:r w:rsidR="00F361AA" w:rsidRPr="00205201">
        <w:rPr>
          <w:color w:val="215868" w:themeColor="accent5" w:themeShade="80"/>
          <w:sz w:val="20"/>
        </w:rPr>
        <w:t xml:space="preserve"> </w:t>
      </w:r>
      <w:r w:rsidRPr="00205201">
        <w:rPr>
          <w:color w:val="215868" w:themeColor="accent5" w:themeShade="80"/>
          <w:sz w:val="20"/>
        </w:rPr>
        <w:t>of more than 322 km (200 mi).</w:t>
      </w:r>
    </w:p>
    <w:p w14:paraId="12F37C7B" w14:textId="7A2507B0" w:rsidR="00231DFF"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Sparse = Distribution in Idaho is uncommon and scattered, but species otherwise has a wide range (e.g. occurs in multiple states).</w:t>
      </w:r>
    </w:p>
    <w:p w14:paraId="21FB45C4"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Peripheral = Distribution in Idaho is at the margin of the species’ main, contiguous portion in an adjacent state or province.</w:t>
      </w:r>
    </w:p>
    <w:p w14:paraId="3FB023D4" w14:textId="77777777" w:rsidR="008E40B6" w:rsidRPr="00205201" w:rsidRDefault="00231DFF" w:rsidP="00205201">
      <w:pPr>
        <w:pStyle w:val="ListParagraph"/>
        <w:numPr>
          <w:ilvl w:val="1"/>
          <w:numId w:val="1"/>
        </w:numPr>
        <w:ind w:left="540"/>
        <w:rPr>
          <w:color w:val="215868" w:themeColor="accent5" w:themeShade="80"/>
          <w:sz w:val="20"/>
        </w:rPr>
      </w:pPr>
      <w:r w:rsidRPr="00205201">
        <w:rPr>
          <w:color w:val="215868" w:themeColor="accent5" w:themeShade="80"/>
          <w:sz w:val="20"/>
        </w:rPr>
        <w:t xml:space="preserve">Widespread = Species occurs widely across western North America (covering more than 200,000 km²) and </w:t>
      </w:r>
      <w:r w:rsidR="008622CF" w:rsidRPr="00205201">
        <w:rPr>
          <w:color w:val="215868" w:themeColor="accent5" w:themeShade="80"/>
          <w:sz w:val="20"/>
        </w:rPr>
        <w:tab/>
      </w:r>
      <w:r w:rsidRPr="00205201">
        <w:rPr>
          <w:color w:val="215868" w:themeColor="accent5" w:themeShade="80"/>
          <w:sz w:val="20"/>
        </w:rPr>
        <w:t xml:space="preserve">across Idaho. </w:t>
      </w:r>
    </w:p>
    <w:p w14:paraId="635B5B9F" w14:textId="77777777" w:rsidR="008E40B6" w:rsidRPr="00426A83" w:rsidRDefault="008E40B6" w:rsidP="00426A83">
      <w:pPr>
        <w:ind w:firstLine="720"/>
        <w:rPr>
          <w:color w:val="215868" w:themeColor="accent5" w:themeShade="80"/>
          <w:sz w:val="20"/>
        </w:rPr>
      </w:pPr>
    </w:p>
    <w:p w14:paraId="42D6DA46" w14:textId="36100D1E" w:rsidR="008E40B6" w:rsidRPr="00426A83" w:rsidRDefault="00231DFF" w:rsidP="00426A83">
      <w:pPr>
        <w:rPr>
          <w:color w:val="215868" w:themeColor="accent5" w:themeShade="80"/>
          <w:sz w:val="20"/>
        </w:rPr>
      </w:pPr>
      <w:r w:rsidRPr="00426A83">
        <w:rPr>
          <w:color w:val="215868" w:themeColor="accent5" w:themeShade="80"/>
          <w:sz w:val="20"/>
        </w:rPr>
        <w:t xml:space="preserve">Values used for estimating Range Extent, Area of Occupancy, and Number of Occurrence should at minimum be based on review of IDNHP’s </w:t>
      </w:r>
      <w:r w:rsidR="00B76DC7">
        <w:rPr>
          <w:color w:val="215868" w:themeColor="accent5" w:themeShade="80"/>
          <w:sz w:val="20"/>
        </w:rPr>
        <w:t>IFWIS</w:t>
      </w:r>
      <w:r w:rsidRPr="00426A83">
        <w:rPr>
          <w:color w:val="215868" w:themeColor="accent5" w:themeShade="80"/>
          <w:sz w:val="20"/>
        </w:rPr>
        <w:t xml:space="preserve"> Database, </w:t>
      </w:r>
      <w:hyperlink r:id="rId12" w:history="1">
        <w:r w:rsidRPr="000115DF">
          <w:rPr>
            <w:rStyle w:val="Hyperlink"/>
            <w:color w:val="215868" w:themeColor="accent5" w:themeShade="80"/>
            <w:sz w:val="20"/>
            <w:u w:val="none"/>
          </w:rPr>
          <w:t>Consortium of Pacific Northwest Herbaria</w:t>
        </w:r>
      </w:hyperlink>
      <w:r w:rsidRPr="000115DF">
        <w:rPr>
          <w:color w:val="215868" w:themeColor="accent5" w:themeShade="80"/>
        </w:rPr>
        <w:t xml:space="preserve">, </w:t>
      </w:r>
      <w:r w:rsidRPr="00426A83">
        <w:rPr>
          <w:color w:val="215868" w:themeColor="accent5" w:themeShade="80"/>
          <w:sz w:val="20"/>
        </w:rPr>
        <w:t>and personal knowledge of documented occurrences.</w:t>
      </w:r>
      <w:r w:rsidR="00A97C1E">
        <w:rPr>
          <w:color w:val="215868" w:themeColor="accent5" w:themeShade="80"/>
          <w:sz w:val="20"/>
        </w:rPr>
        <w:t xml:space="preserve">  Other on-line herbaria (Intermountain Region Herbarium Network, SEINet, etc.) may also be helpful.</w:t>
      </w:r>
    </w:p>
    <w:p w14:paraId="47807E67" w14:textId="77777777" w:rsidR="008E40B6" w:rsidRPr="00426A83" w:rsidRDefault="008E40B6" w:rsidP="00426A83">
      <w:pPr>
        <w:rPr>
          <w:color w:val="215868" w:themeColor="accent5" w:themeShade="80"/>
          <w:sz w:val="20"/>
        </w:rPr>
      </w:pPr>
    </w:p>
    <w:p w14:paraId="277E207E" w14:textId="6373F6B0" w:rsidR="008E40B6" w:rsidRPr="00426A83" w:rsidRDefault="00EF7AE1" w:rsidP="00426A83">
      <w:pPr>
        <w:rPr>
          <w:color w:val="215868" w:themeColor="accent5" w:themeShade="80"/>
          <w:sz w:val="20"/>
        </w:rPr>
      </w:pPr>
      <w:r w:rsidRPr="00426A83">
        <w:rPr>
          <w:color w:val="215868" w:themeColor="accent5" w:themeShade="80"/>
          <w:sz w:val="20"/>
          <w:vertAlign w:val="superscript"/>
        </w:rPr>
        <w:t>7</w:t>
      </w:r>
      <w:r w:rsidRPr="00426A83">
        <w:rPr>
          <w:color w:val="215868" w:themeColor="accent5" w:themeShade="80"/>
          <w:sz w:val="20"/>
        </w:rPr>
        <w:t>”Key(s)” include taxonomic key(s) species is described in. This includes Vascular Plants of the Pacific Northwest/Flora of the Pacific Northwest (</w:t>
      </w:r>
      <w:r w:rsidR="00205201">
        <w:rPr>
          <w:color w:val="215868" w:themeColor="accent5" w:themeShade="80"/>
          <w:sz w:val="20"/>
        </w:rPr>
        <w:t>F</w:t>
      </w:r>
      <w:r w:rsidRPr="00426A83">
        <w:rPr>
          <w:color w:val="215868" w:themeColor="accent5" w:themeShade="80"/>
          <w:sz w:val="20"/>
        </w:rPr>
        <w:t>PNW</w:t>
      </w:r>
      <w:r w:rsidR="00205201">
        <w:rPr>
          <w:color w:val="215868" w:themeColor="accent5" w:themeShade="80"/>
          <w:sz w:val="20"/>
        </w:rPr>
        <w:t xml:space="preserve"> or FPNW2</w:t>
      </w:r>
      <w:r w:rsidRPr="00426A83">
        <w:rPr>
          <w:color w:val="215868" w:themeColor="accent5" w:themeShade="80"/>
          <w:sz w:val="20"/>
        </w:rPr>
        <w:t xml:space="preserve">); Intermountain Flora (IMF); and </w:t>
      </w:r>
      <w:hyperlink r:id="rId13" w:history="1">
        <w:r w:rsidRPr="00426A83">
          <w:rPr>
            <w:rStyle w:val="Hyperlink"/>
            <w:color w:val="215868" w:themeColor="accent5" w:themeShade="80"/>
            <w:sz w:val="20"/>
          </w:rPr>
          <w:t>Flora of North America (FNA)</w:t>
        </w:r>
      </w:hyperlink>
      <w:r w:rsidRPr="00426A83">
        <w:rPr>
          <w:color w:val="215868" w:themeColor="accent5" w:themeShade="80"/>
          <w:sz w:val="20"/>
        </w:rPr>
        <w:t xml:space="preserve">. If the name in a key is different than the “Species Name”, the synonymous scientific name used in the key should be added below the Species Name. </w:t>
      </w:r>
    </w:p>
    <w:p w14:paraId="2CB14AE8" w14:textId="77777777" w:rsidR="00EF7AE1" w:rsidRPr="00426A83" w:rsidRDefault="00EF7AE1" w:rsidP="00231DFF">
      <w:pPr>
        <w:rPr>
          <w:color w:val="215868" w:themeColor="accent5" w:themeShade="80"/>
          <w:sz w:val="20"/>
        </w:rPr>
      </w:pPr>
    </w:p>
    <w:p w14:paraId="2893648C" w14:textId="77777777" w:rsidR="008E40B6" w:rsidRPr="00426A83" w:rsidRDefault="00231DFF" w:rsidP="00426A83">
      <w:pPr>
        <w:rPr>
          <w:color w:val="215868" w:themeColor="accent5" w:themeShade="80"/>
          <w:sz w:val="20"/>
        </w:rPr>
      </w:pPr>
      <w:r w:rsidRPr="00426A83">
        <w:rPr>
          <w:color w:val="215868" w:themeColor="accent5" w:themeShade="80"/>
          <w:sz w:val="20"/>
          <w:vertAlign w:val="superscript"/>
        </w:rPr>
        <w:t>8</w:t>
      </w:r>
      <w:r w:rsidRPr="00426A83">
        <w:rPr>
          <w:color w:val="215868" w:themeColor="accent5" w:themeShade="80"/>
          <w:sz w:val="20"/>
        </w:rPr>
        <w:t xml:space="preserve">”Number of Occurrences” are defined as the number of occurrences &gt;1 km apart, and generally only include those for which there is reasonable certainty that still occur (e.g. excluding historical). If needed, the number of occurrences can be calculated by counting the number of species locations greater than 1 km edge-to-edge. </w:t>
      </w:r>
    </w:p>
    <w:p w14:paraId="39852687" w14:textId="77777777" w:rsidR="008E40B6" w:rsidRPr="00426A83" w:rsidRDefault="008E40B6" w:rsidP="00426A83">
      <w:pPr>
        <w:rPr>
          <w:color w:val="215868" w:themeColor="accent5" w:themeShade="80"/>
          <w:sz w:val="20"/>
        </w:rPr>
      </w:pPr>
    </w:p>
    <w:p w14:paraId="4423D073" w14:textId="77777777" w:rsidR="008E40B6" w:rsidRPr="00426A83" w:rsidRDefault="008622CF" w:rsidP="00426A83">
      <w:pPr>
        <w:rPr>
          <w:color w:val="215868" w:themeColor="accent5" w:themeShade="80"/>
          <w:sz w:val="20"/>
        </w:rPr>
      </w:pPr>
      <w:r w:rsidRPr="00426A83">
        <w:rPr>
          <w:color w:val="215868" w:themeColor="accent5" w:themeShade="80"/>
          <w:sz w:val="20"/>
          <w:vertAlign w:val="superscript"/>
        </w:rPr>
        <w:t>9</w:t>
      </w:r>
      <w:r w:rsidRPr="00426A83">
        <w:rPr>
          <w:color w:val="215868" w:themeColor="accent5" w:themeShade="80"/>
          <w:sz w:val="20"/>
        </w:rPr>
        <w:t>”Counties” correspond to the Idaho counties the species is known to occur or have occurred. A list of county names, land area, and percent contribution is provided below. Questionable or historical counties should be indicated by having a “?” at the end of the county name.</w:t>
      </w:r>
    </w:p>
    <w:p w14:paraId="2D00A997" w14:textId="77777777" w:rsidR="008E40B6" w:rsidRPr="00426A83" w:rsidRDefault="008E40B6" w:rsidP="00426A83">
      <w:pPr>
        <w:rPr>
          <w:color w:val="215868" w:themeColor="accent5" w:themeShade="80"/>
          <w:sz w:val="20"/>
        </w:rPr>
      </w:pPr>
    </w:p>
    <w:p w14:paraId="0D76C938" w14:textId="39FA8A0B" w:rsidR="008E40B6" w:rsidRPr="002B3DCE" w:rsidRDefault="00231DFF" w:rsidP="00426A83">
      <w:pPr>
        <w:rPr>
          <w:color w:val="FF0000"/>
          <w:sz w:val="20"/>
        </w:rPr>
      </w:pPr>
      <w:r w:rsidRPr="00426A83">
        <w:rPr>
          <w:color w:val="215868" w:themeColor="accent5" w:themeShade="80"/>
          <w:sz w:val="20"/>
          <w:vertAlign w:val="superscript"/>
        </w:rPr>
        <w:lastRenderedPageBreak/>
        <w:t>10</w:t>
      </w:r>
      <w:r w:rsidRPr="00426A83">
        <w:rPr>
          <w:color w:val="215868" w:themeColor="accent5" w:themeShade="80"/>
          <w:sz w:val="20"/>
        </w:rPr>
        <w:t>”</w:t>
      </w:r>
      <w:r w:rsidR="008622CF" w:rsidRPr="00426A83">
        <w:rPr>
          <w:color w:val="215868" w:themeColor="accent5" w:themeShade="80"/>
          <w:sz w:val="20"/>
        </w:rPr>
        <w:t xml:space="preserve">Environmental </w:t>
      </w:r>
      <w:r w:rsidRPr="00426A83">
        <w:rPr>
          <w:color w:val="215868" w:themeColor="accent5" w:themeShade="80"/>
          <w:sz w:val="20"/>
        </w:rPr>
        <w:t xml:space="preserve">specificity” corresponds to the Very Narrow, Narrow, Moderate, and Broad categories from the NatureServe Rank Calculator, and may include some key habitat descriptors in parentheses afterwards. </w:t>
      </w:r>
      <w:r w:rsidR="006B3062">
        <w:rPr>
          <w:color w:val="215868" w:themeColor="accent5" w:themeShade="80"/>
          <w:sz w:val="20"/>
        </w:rPr>
        <w:t>This field is not used in the rank calculator unless there is no information on number of occurrences or area of occupancy.</w:t>
      </w:r>
      <w:r w:rsidR="002B3DCE">
        <w:rPr>
          <w:color w:val="215868" w:themeColor="accent5" w:themeShade="80"/>
          <w:sz w:val="20"/>
        </w:rPr>
        <w:t xml:space="preserve">    </w:t>
      </w:r>
    </w:p>
    <w:p w14:paraId="21122823" w14:textId="77777777" w:rsidR="00231DFF" w:rsidRPr="00426A83" w:rsidRDefault="00231DFF" w:rsidP="00C52CDB">
      <w:pPr>
        <w:rPr>
          <w:color w:val="215868" w:themeColor="accent5" w:themeShade="80"/>
          <w:sz w:val="20"/>
        </w:rPr>
      </w:pPr>
    </w:p>
    <w:p w14:paraId="509A826F" w14:textId="77777777" w:rsidR="008E40B6" w:rsidRPr="00426A83" w:rsidRDefault="008622CF" w:rsidP="00426A83">
      <w:pPr>
        <w:rPr>
          <w:color w:val="215868" w:themeColor="accent5" w:themeShade="80"/>
          <w:sz w:val="20"/>
        </w:rPr>
      </w:pPr>
      <w:r w:rsidRPr="00426A83">
        <w:rPr>
          <w:color w:val="215868" w:themeColor="accent5" w:themeShade="80"/>
          <w:sz w:val="20"/>
          <w:vertAlign w:val="superscript"/>
        </w:rPr>
        <w:t>11</w:t>
      </w:r>
      <w:r w:rsidR="00427A12">
        <w:rPr>
          <w:color w:val="215868" w:themeColor="accent5" w:themeShade="80"/>
          <w:sz w:val="20"/>
        </w:rPr>
        <w:t>”</w:t>
      </w:r>
      <w:r w:rsidR="00444AD0">
        <w:rPr>
          <w:color w:val="215868" w:themeColor="accent5" w:themeShade="80"/>
          <w:sz w:val="20"/>
        </w:rPr>
        <w:t>Overall Threat Rank</w:t>
      </w:r>
      <w:r w:rsidR="00427A12">
        <w:rPr>
          <w:color w:val="215868" w:themeColor="accent5" w:themeShade="80"/>
          <w:sz w:val="20"/>
        </w:rPr>
        <w:t xml:space="preserve">” is </w:t>
      </w:r>
      <w:r w:rsidRPr="00426A83">
        <w:rPr>
          <w:color w:val="215868" w:themeColor="accent5" w:themeShade="80"/>
          <w:sz w:val="20"/>
        </w:rPr>
        <w:t>the calculated threat level from the NatureS</w:t>
      </w:r>
      <w:r w:rsidR="00427A12">
        <w:rPr>
          <w:color w:val="215868" w:themeColor="accent5" w:themeShade="80"/>
          <w:sz w:val="20"/>
        </w:rPr>
        <w:t>erve calculator</w:t>
      </w:r>
      <w:r w:rsidRPr="00426A83">
        <w:rPr>
          <w:color w:val="215868" w:themeColor="accent5" w:themeShade="80"/>
          <w:sz w:val="20"/>
        </w:rPr>
        <w:t>.</w:t>
      </w:r>
    </w:p>
    <w:p w14:paraId="528AAD3F" w14:textId="77777777" w:rsidR="008622CF" w:rsidRPr="00426A83" w:rsidRDefault="008622CF" w:rsidP="00C52CDB">
      <w:pPr>
        <w:rPr>
          <w:color w:val="215868" w:themeColor="accent5" w:themeShade="80"/>
          <w:sz w:val="20"/>
        </w:rPr>
      </w:pPr>
    </w:p>
    <w:p w14:paraId="2D252A52"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12</w:t>
      </w:r>
      <w:r w:rsidRPr="00426A83">
        <w:rPr>
          <w:color w:val="215868" w:themeColor="accent5" w:themeShade="80"/>
          <w:sz w:val="20"/>
        </w:rPr>
        <w:t xml:space="preserve">” Comments” may include information needs, basis for species addition/deletion from list, and specific threat information. </w:t>
      </w:r>
    </w:p>
    <w:p w14:paraId="05D55CDE" w14:textId="77777777" w:rsidR="008E40B6" w:rsidRPr="00426A83" w:rsidRDefault="008E40B6" w:rsidP="00426A83">
      <w:pPr>
        <w:rPr>
          <w:color w:val="215868" w:themeColor="accent5" w:themeShade="80"/>
          <w:sz w:val="20"/>
        </w:rPr>
      </w:pPr>
    </w:p>
    <w:p w14:paraId="6558524A" w14:textId="45F885B1" w:rsidR="008E40B6" w:rsidRPr="00426A83" w:rsidRDefault="00C52CDB" w:rsidP="00426A83">
      <w:pPr>
        <w:rPr>
          <w:color w:val="215868" w:themeColor="accent5" w:themeShade="80"/>
          <w:sz w:val="20"/>
        </w:rPr>
      </w:pPr>
      <w:r w:rsidRPr="00426A83">
        <w:rPr>
          <w:color w:val="215868" w:themeColor="accent5" w:themeShade="80"/>
          <w:sz w:val="20"/>
          <w:vertAlign w:val="superscript"/>
        </w:rPr>
        <w:t>13”</w:t>
      </w:r>
      <w:r w:rsidRPr="00426A83">
        <w:rPr>
          <w:color w:val="215868" w:themeColor="accent5" w:themeShade="80"/>
          <w:sz w:val="20"/>
        </w:rPr>
        <w:t xml:space="preserve">Recommendation” is the recommendation to federal and state agencies based on consensus and/or new information shared at the RPC, followed after the month and year comment was made (e.g. Oct2011). Recommendations should be specific and tangible enough so they can be reasonably accomplished. If species is deleted or reviewed and not added, it </w:t>
      </w:r>
      <w:r w:rsidR="0008058C">
        <w:rPr>
          <w:color w:val="215868" w:themeColor="accent5" w:themeShade="80"/>
          <w:sz w:val="20"/>
        </w:rPr>
        <w:t>will</w:t>
      </w:r>
      <w:r w:rsidRPr="00426A83">
        <w:rPr>
          <w:color w:val="215868" w:themeColor="accent5" w:themeShade="80"/>
          <w:sz w:val="20"/>
        </w:rPr>
        <w:t xml:space="preserve"> be maintained in a separate list of “Plants Previously Considered or Listed by INPS”. This list include</w:t>
      </w:r>
      <w:r w:rsidR="0008058C">
        <w:rPr>
          <w:color w:val="215868" w:themeColor="accent5" w:themeShade="80"/>
          <w:sz w:val="20"/>
        </w:rPr>
        <w:t>s</w:t>
      </w:r>
      <w:r w:rsidRPr="00426A83">
        <w:rPr>
          <w:color w:val="215868" w:themeColor="accent5" w:themeShade="80"/>
          <w:sz w:val="20"/>
        </w:rPr>
        <w:t xml:space="preserve"> information in the table above, plus previous status (if applicable), reason for not being listed or being deleted, and date of determination.</w:t>
      </w:r>
    </w:p>
    <w:p w14:paraId="0859D015" w14:textId="77777777" w:rsidR="008E40B6" w:rsidRPr="00426A83" w:rsidRDefault="008E40B6" w:rsidP="00426A83">
      <w:pPr>
        <w:rPr>
          <w:color w:val="215868" w:themeColor="accent5" w:themeShade="80"/>
          <w:sz w:val="20"/>
        </w:rPr>
      </w:pPr>
    </w:p>
    <w:p w14:paraId="78905805" w14:textId="77777777" w:rsidR="008622CF" w:rsidRPr="00426A83" w:rsidRDefault="008622CF" w:rsidP="008622CF">
      <w:pPr>
        <w:ind w:left="-720"/>
        <w:rPr>
          <w:color w:val="215868" w:themeColor="accent5" w:themeShade="80"/>
          <w:sz w:val="20"/>
        </w:rPr>
      </w:pPr>
    </w:p>
    <w:p w14:paraId="548D9FF7" w14:textId="77777777" w:rsidR="008622CF" w:rsidRPr="00426A83" w:rsidRDefault="008622CF" w:rsidP="008622CF">
      <w:pPr>
        <w:keepNext/>
        <w:ind w:left="-720" w:firstLine="720"/>
        <w:rPr>
          <w:b/>
          <w:color w:val="215868" w:themeColor="accent5" w:themeShade="80"/>
          <w:sz w:val="20"/>
        </w:rPr>
      </w:pPr>
      <w:r w:rsidRPr="00426A83">
        <w:rPr>
          <w:b/>
          <w:color w:val="215868" w:themeColor="accent5" w:themeShade="80"/>
          <w:sz w:val="20"/>
        </w:rPr>
        <w:t>LAND AREA AND PERCENT CONTRIBUTION OF IDAHO’S COUNTIES:</w:t>
      </w:r>
    </w:p>
    <w:tbl>
      <w:tblPr>
        <w:tblW w:w="59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22"/>
        <w:gridCol w:w="882"/>
        <w:gridCol w:w="1083"/>
        <w:gridCol w:w="989"/>
        <w:gridCol w:w="882"/>
      </w:tblGrid>
      <w:tr w:rsidR="00AA05B0" w:rsidRPr="00426A83" w14:paraId="67E63A26" w14:textId="77777777" w:rsidTr="00AA05B0">
        <w:trPr>
          <w:trHeight w:val="255"/>
        </w:trPr>
        <w:tc>
          <w:tcPr>
            <w:tcW w:w="1083" w:type="dxa"/>
            <w:shd w:val="clear" w:color="auto" w:fill="auto"/>
            <w:noWrap/>
            <w:vAlign w:val="bottom"/>
            <w:hideMark/>
          </w:tcPr>
          <w:p w14:paraId="583EB327" w14:textId="77777777" w:rsidR="00AA05B0" w:rsidRPr="00426A83" w:rsidRDefault="00AA05B0"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22" w:type="dxa"/>
            <w:shd w:val="clear" w:color="auto" w:fill="auto"/>
            <w:noWrap/>
            <w:vAlign w:val="bottom"/>
            <w:hideMark/>
          </w:tcPr>
          <w:p w14:paraId="786BB2A3"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shd w:val="clear" w:color="auto" w:fill="auto"/>
            <w:noWrap/>
            <w:vAlign w:val="bottom"/>
            <w:hideMark/>
          </w:tcPr>
          <w:p w14:paraId="56B0FE64"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83" w:type="dxa"/>
            <w:shd w:val="clear" w:color="auto" w:fill="auto"/>
            <w:noWrap/>
            <w:vAlign w:val="bottom"/>
            <w:hideMark/>
          </w:tcPr>
          <w:p w14:paraId="5F1C20D0" w14:textId="77777777" w:rsidR="00AA05B0" w:rsidRPr="00426A83" w:rsidRDefault="00AA05B0"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989" w:type="dxa"/>
            <w:shd w:val="clear" w:color="auto" w:fill="auto"/>
            <w:noWrap/>
            <w:vAlign w:val="bottom"/>
            <w:hideMark/>
          </w:tcPr>
          <w:p w14:paraId="5523A746"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shd w:val="clear" w:color="auto" w:fill="auto"/>
            <w:noWrap/>
            <w:vAlign w:val="bottom"/>
            <w:hideMark/>
          </w:tcPr>
          <w:p w14:paraId="53D50EDB" w14:textId="77777777" w:rsidR="00AA05B0" w:rsidRPr="00426A83" w:rsidRDefault="00AA05B0"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r>
      <w:tr w:rsidR="00AA05B0" w:rsidRPr="00426A83" w14:paraId="7C08392A" w14:textId="77777777" w:rsidTr="00AA05B0">
        <w:trPr>
          <w:trHeight w:val="255"/>
        </w:trPr>
        <w:tc>
          <w:tcPr>
            <w:tcW w:w="1083" w:type="dxa"/>
            <w:shd w:val="clear" w:color="auto" w:fill="auto"/>
            <w:noWrap/>
            <w:vAlign w:val="bottom"/>
            <w:hideMark/>
          </w:tcPr>
          <w:p w14:paraId="0651B028"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Ada</w:t>
            </w:r>
          </w:p>
        </w:tc>
        <w:tc>
          <w:tcPr>
            <w:tcW w:w="1022" w:type="dxa"/>
            <w:shd w:val="clear" w:color="auto" w:fill="auto"/>
            <w:noWrap/>
            <w:vAlign w:val="bottom"/>
            <w:hideMark/>
          </w:tcPr>
          <w:p w14:paraId="06DF94A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1060</w:t>
            </w:r>
          </w:p>
        </w:tc>
        <w:tc>
          <w:tcPr>
            <w:tcW w:w="882" w:type="dxa"/>
            <w:shd w:val="clear" w:color="auto" w:fill="auto"/>
            <w:noWrap/>
            <w:vAlign w:val="bottom"/>
            <w:hideMark/>
          </w:tcPr>
          <w:p w14:paraId="4A574F6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1.21 </w:t>
            </w:r>
          </w:p>
        </w:tc>
        <w:tc>
          <w:tcPr>
            <w:tcW w:w="1083" w:type="dxa"/>
            <w:shd w:val="clear" w:color="auto" w:fill="auto"/>
            <w:noWrap/>
            <w:vAlign w:val="bottom"/>
          </w:tcPr>
          <w:p w14:paraId="128E99E9" w14:textId="5A051921"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Gem</w:t>
            </w:r>
          </w:p>
        </w:tc>
        <w:tc>
          <w:tcPr>
            <w:tcW w:w="989" w:type="dxa"/>
            <w:shd w:val="clear" w:color="auto" w:fill="auto"/>
            <w:noWrap/>
            <w:vAlign w:val="bottom"/>
          </w:tcPr>
          <w:p w14:paraId="03B3318D" w14:textId="10A1DBF6"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566</w:t>
            </w:r>
          </w:p>
        </w:tc>
        <w:tc>
          <w:tcPr>
            <w:tcW w:w="882" w:type="dxa"/>
            <w:shd w:val="clear" w:color="auto" w:fill="auto"/>
            <w:noWrap/>
            <w:vAlign w:val="bottom"/>
          </w:tcPr>
          <w:p w14:paraId="0C80A0A7" w14:textId="2C801F18"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0.65 </w:t>
            </w:r>
          </w:p>
        </w:tc>
      </w:tr>
      <w:tr w:rsidR="00AA05B0" w:rsidRPr="00426A83" w14:paraId="3DCD6C5D" w14:textId="77777777" w:rsidTr="00AA05B0">
        <w:trPr>
          <w:trHeight w:val="255"/>
        </w:trPr>
        <w:tc>
          <w:tcPr>
            <w:tcW w:w="1083" w:type="dxa"/>
            <w:shd w:val="clear" w:color="auto" w:fill="auto"/>
            <w:noWrap/>
            <w:vAlign w:val="bottom"/>
            <w:hideMark/>
          </w:tcPr>
          <w:p w14:paraId="6285ECD4"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Adams</w:t>
            </w:r>
          </w:p>
        </w:tc>
        <w:tc>
          <w:tcPr>
            <w:tcW w:w="1022" w:type="dxa"/>
            <w:shd w:val="clear" w:color="auto" w:fill="auto"/>
            <w:noWrap/>
            <w:vAlign w:val="bottom"/>
            <w:hideMark/>
          </w:tcPr>
          <w:p w14:paraId="46DB627F"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1370</w:t>
            </w:r>
          </w:p>
        </w:tc>
        <w:tc>
          <w:tcPr>
            <w:tcW w:w="882" w:type="dxa"/>
            <w:shd w:val="clear" w:color="auto" w:fill="auto"/>
            <w:noWrap/>
            <w:vAlign w:val="bottom"/>
            <w:hideMark/>
          </w:tcPr>
          <w:p w14:paraId="695E8809"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1.57 </w:t>
            </w:r>
          </w:p>
        </w:tc>
        <w:tc>
          <w:tcPr>
            <w:tcW w:w="1083" w:type="dxa"/>
            <w:shd w:val="clear" w:color="auto" w:fill="auto"/>
            <w:noWrap/>
            <w:vAlign w:val="bottom"/>
          </w:tcPr>
          <w:p w14:paraId="6A95C2AB" w14:textId="4A35B46F"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Gooding</w:t>
            </w:r>
          </w:p>
        </w:tc>
        <w:tc>
          <w:tcPr>
            <w:tcW w:w="989" w:type="dxa"/>
            <w:shd w:val="clear" w:color="auto" w:fill="auto"/>
            <w:noWrap/>
            <w:vAlign w:val="bottom"/>
          </w:tcPr>
          <w:p w14:paraId="0E5A0E90" w14:textId="0957E29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734</w:t>
            </w:r>
          </w:p>
        </w:tc>
        <w:tc>
          <w:tcPr>
            <w:tcW w:w="882" w:type="dxa"/>
            <w:shd w:val="clear" w:color="auto" w:fill="auto"/>
            <w:noWrap/>
            <w:vAlign w:val="bottom"/>
          </w:tcPr>
          <w:p w14:paraId="2FED6821" w14:textId="0B9B78C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0.84 </w:t>
            </w:r>
          </w:p>
        </w:tc>
      </w:tr>
      <w:tr w:rsidR="00AA05B0" w:rsidRPr="00426A83" w14:paraId="6BA9E717" w14:textId="77777777" w:rsidTr="00AA05B0">
        <w:trPr>
          <w:trHeight w:val="255"/>
        </w:trPr>
        <w:tc>
          <w:tcPr>
            <w:tcW w:w="1083" w:type="dxa"/>
            <w:shd w:val="clear" w:color="auto" w:fill="auto"/>
            <w:noWrap/>
            <w:vAlign w:val="bottom"/>
            <w:hideMark/>
          </w:tcPr>
          <w:p w14:paraId="0CC31091"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Bannock</w:t>
            </w:r>
          </w:p>
        </w:tc>
        <w:tc>
          <w:tcPr>
            <w:tcW w:w="1022" w:type="dxa"/>
            <w:shd w:val="clear" w:color="auto" w:fill="auto"/>
            <w:noWrap/>
            <w:vAlign w:val="bottom"/>
            <w:hideMark/>
          </w:tcPr>
          <w:p w14:paraId="325F49E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1147</w:t>
            </w:r>
          </w:p>
        </w:tc>
        <w:tc>
          <w:tcPr>
            <w:tcW w:w="882" w:type="dxa"/>
            <w:shd w:val="clear" w:color="auto" w:fill="auto"/>
            <w:noWrap/>
            <w:vAlign w:val="bottom"/>
            <w:hideMark/>
          </w:tcPr>
          <w:p w14:paraId="0CA37B8A"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1.31 </w:t>
            </w:r>
          </w:p>
        </w:tc>
        <w:tc>
          <w:tcPr>
            <w:tcW w:w="1083" w:type="dxa"/>
            <w:shd w:val="clear" w:color="auto" w:fill="auto"/>
            <w:noWrap/>
            <w:vAlign w:val="bottom"/>
          </w:tcPr>
          <w:p w14:paraId="76C71553" w14:textId="6675CC59"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Idaho</w:t>
            </w:r>
          </w:p>
        </w:tc>
        <w:tc>
          <w:tcPr>
            <w:tcW w:w="989" w:type="dxa"/>
            <w:shd w:val="clear" w:color="auto" w:fill="auto"/>
            <w:noWrap/>
            <w:vAlign w:val="bottom"/>
          </w:tcPr>
          <w:p w14:paraId="4E8A1A32" w14:textId="502D72E9"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8502</w:t>
            </w:r>
          </w:p>
        </w:tc>
        <w:tc>
          <w:tcPr>
            <w:tcW w:w="882" w:type="dxa"/>
            <w:shd w:val="clear" w:color="auto" w:fill="auto"/>
            <w:noWrap/>
            <w:vAlign w:val="bottom"/>
          </w:tcPr>
          <w:p w14:paraId="231BD28C" w14:textId="7A9E22C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9.71 </w:t>
            </w:r>
          </w:p>
        </w:tc>
      </w:tr>
      <w:tr w:rsidR="00AA05B0" w:rsidRPr="00426A83" w14:paraId="6966B57F" w14:textId="77777777" w:rsidTr="00AA05B0">
        <w:trPr>
          <w:trHeight w:val="255"/>
        </w:trPr>
        <w:tc>
          <w:tcPr>
            <w:tcW w:w="1083" w:type="dxa"/>
            <w:shd w:val="clear" w:color="auto" w:fill="auto"/>
            <w:noWrap/>
            <w:vAlign w:val="bottom"/>
            <w:hideMark/>
          </w:tcPr>
          <w:p w14:paraId="70133EE9"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Bear Lake</w:t>
            </w:r>
          </w:p>
        </w:tc>
        <w:tc>
          <w:tcPr>
            <w:tcW w:w="1022" w:type="dxa"/>
            <w:shd w:val="clear" w:color="auto" w:fill="auto"/>
            <w:noWrap/>
            <w:vAlign w:val="bottom"/>
            <w:hideMark/>
          </w:tcPr>
          <w:p w14:paraId="2D615DA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1049</w:t>
            </w:r>
          </w:p>
        </w:tc>
        <w:tc>
          <w:tcPr>
            <w:tcW w:w="882" w:type="dxa"/>
            <w:shd w:val="clear" w:color="auto" w:fill="auto"/>
            <w:noWrap/>
            <w:vAlign w:val="bottom"/>
            <w:hideMark/>
          </w:tcPr>
          <w:p w14:paraId="0B5327B1"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1.20 </w:t>
            </w:r>
          </w:p>
        </w:tc>
        <w:tc>
          <w:tcPr>
            <w:tcW w:w="1083" w:type="dxa"/>
            <w:shd w:val="clear" w:color="auto" w:fill="auto"/>
            <w:noWrap/>
            <w:vAlign w:val="bottom"/>
          </w:tcPr>
          <w:p w14:paraId="1026581E" w14:textId="1FA9B0E5"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Jefferson</w:t>
            </w:r>
          </w:p>
        </w:tc>
        <w:tc>
          <w:tcPr>
            <w:tcW w:w="989" w:type="dxa"/>
            <w:shd w:val="clear" w:color="auto" w:fill="auto"/>
            <w:noWrap/>
            <w:vAlign w:val="bottom"/>
          </w:tcPr>
          <w:p w14:paraId="2A0F2DD3" w14:textId="4BF41170"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1106</w:t>
            </w:r>
          </w:p>
        </w:tc>
        <w:tc>
          <w:tcPr>
            <w:tcW w:w="882" w:type="dxa"/>
            <w:shd w:val="clear" w:color="auto" w:fill="auto"/>
            <w:noWrap/>
            <w:vAlign w:val="bottom"/>
          </w:tcPr>
          <w:p w14:paraId="235DB09A" w14:textId="6D4DE42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1.26 </w:t>
            </w:r>
          </w:p>
        </w:tc>
      </w:tr>
      <w:tr w:rsidR="00AA05B0" w:rsidRPr="00426A83" w14:paraId="7AA303C7" w14:textId="77777777" w:rsidTr="00AA05B0">
        <w:trPr>
          <w:trHeight w:val="255"/>
        </w:trPr>
        <w:tc>
          <w:tcPr>
            <w:tcW w:w="1083" w:type="dxa"/>
            <w:shd w:val="clear" w:color="auto" w:fill="auto"/>
            <w:noWrap/>
            <w:vAlign w:val="bottom"/>
            <w:hideMark/>
          </w:tcPr>
          <w:p w14:paraId="244DC36C"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Benewah</w:t>
            </w:r>
          </w:p>
        </w:tc>
        <w:tc>
          <w:tcPr>
            <w:tcW w:w="1022" w:type="dxa"/>
            <w:shd w:val="clear" w:color="auto" w:fill="auto"/>
            <w:noWrap/>
            <w:vAlign w:val="bottom"/>
            <w:hideMark/>
          </w:tcPr>
          <w:p w14:paraId="564ECA7E"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784</w:t>
            </w:r>
          </w:p>
        </w:tc>
        <w:tc>
          <w:tcPr>
            <w:tcW w:w="882" w:type="dxa"/>
            <w:shd w:val="clear" w:color="auto" w:fill="auto"/>
            <w:noWrap/>
            <w:vAlign w:val="bottom"/>
            <w:hideMark/>
          </w:tcPr>
          <w:p w14:paraId="27BB2FD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0.90 </w:t>
            </w:r>
          </w:p>
        </w:tc>
        <w:tc>
          <w:tcPr>
            <w:tcW w:w="1083" w:type="dxa"/>
            <w:shd w:val="clear" w:color="auto" w:fill="auto"/>
            <w:noWrap/>
            <w:vAlign w:val="bottom"/>
          </w:tcPr>
          <w:p w14:paraId="53266248" w14:textId="6035BC26"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Jerome</w:t>
            </w:r>
          </w:p>
        </w:tc>
        <w:tc>
          <w:tcPr>
            <w:tcW w:w="989" w:type="dxa"/>
            <w:shd w:val="clear" w:color="auto" w:fill="auto"/>
            <w:noWrap/>
            <w:vAlign w:val="bottom"/>
          </w:tcPr>
          <w:p w14:paraId="02953994" w14:textId="087FE8E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602</w:t>
            </w:r>
          </w:p>
        </w:tc>
        <w:tc>
          <w:tcPr>
            <w:tcW w:w="882" w:type="dxa"/>
            <w:shd w:val="clear" w:color="auto" w:fill="auto"/>
            <w:noWrap/>
            <w:vAlign w:val="bottom"/>
          </w:tcPr>
          <w:p w14:paraId="31CE98F1" w14:textId="2E15C8DF"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r>
      <w:tr w:rsidR="00AA05B0" w:rsidRPr="00426A83" w14:paraId="6C179912" w14:textId="77777777" w:rsidTr="00AA05B0">
        <w:trPr>
          <w:trHeight w:val="255"/>
        </w:trPr>
        <w:tc>
          <w:tcPr>
            <w:tcW w:w="1083" w:type="dxa"/>
            <w:shd w:val="clear" w:color="auto" w:fill="auto"/>
            <w:noWrap/>
            <w:vAlign w:val="bottom"/>
            <w:hideMark/>
          </w:tcPr>
          <w:p w14:paraId="5AD4F1F6"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Bingham</w:t>
            </w:r>
          </w:p>
        </w:tc>
        <w:tc>
          <w:tcPr>
            <w:tcW w:w="1022" w:type="dxa"/>
            <w:shd w:val="clear" w:color="auto" w:fill="auto"/>
            <w:noWrap/>
            <w:vAlign w:val="bottom"/>
            <w:hideMark/>
          </w:tcPr>
          <w:p w14:paraId="3653503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2120</w:t>
            </w:r>
          </w:p>
        </w:tc>
        <w:tc>
          <w:tcPr>
            <w:tcW w:w="882" w:type="dxa"/>
            <w:shd w:val="clear" w:color="auto" w:fill="auto"/>
            <w:noWrap/>
            <w:vAlign w:val="bottom"/>
            <w:hideMark/>
          </w:tcPr>
          <w:p w14:paraId="3538623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2.42 </w:t>
            </w:r>
          </w:p>
        </w:tc>
        <w:tc>
          <w:tcPr>
            <w:tcW w:w="1083" w:type="dxa"/>
            <w:shd w:val="clear" w:color="auto" w:fill="auto"/>
            <w:noWrap/>
            <w:vAlign w:val="bottom"/>
          </w:tcPr>
          <w:p w14:paraId="4F1D69FE" w14:textId="14C7D148"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Kootenai</w:t>
            </w:r>
          </w:p>
        </w:tc>
        <w:tc>
          <w:tcPr>
            <w:tcW w:w="989" w:type="dxa"/>
            <w:shd w:val="clear" w:color="auto" w:fill="auto"/>
            <w:noWrap/>
            <w:vAlign w:val="bottom"/>
          </w:tcPr>
          <w:p w14:paraId="36781914" w14:textId="50B46875"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1316</w:t>
            </w:r>
          </w:p>
        </w:tc>
        <w:tc>
          <w:tcPr>
            <w:tcW w:w="882" w:type="dxa"/>
            <w:shd w:val="clear" w:color="auto" w:fill="auto"/>
            <w:noWrap/>
            <w:vAlign w:val="bottom"/>
          </w:tcPr>
          <w:p w14:paraId="3866EC02" w14:textId="34183E46"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1.50 </w:t>
            </w:r>
          </w:p>
        </w:tc>
      </w:tr>
      <w:tr w:rsidR="00AA05B0" w:rsidRPr="00426A83" w14:paraId="5915E565" w14:textId="77777777" w:rsidTr="00AA05B0">
        <w:trPr>
          <w:trHeight w:val="255"/>
        </w:trPr>
        <w:tc>
          <w:tcPr>
            <w:tcW w:w="1083" w:type="dxa"/>
            <w:shd w:val="clear" w:color="auto" w:fill="auto"/>
            <w:noWrap/>
            <w:vAlign w:val="bottom"/>
            <w:hideMark/>
          </w:tcPr>
          <w:p w14:paraId="6058257F"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Blaine</w:t>
            </w:r>
          </w:p>
        </w:tc>
        <w:tc>
          <w:tcPr>
            <w:tcW w:w="1022" w:type="dxa"/>
            <w:shd w:val="clear" w:color="auto" w:fill="auto"/>
            <w:noWrap/>
            <w:vAlign w:val="bottom"/>
            <w:hideMark/>
          </w:tcPr>
          <w:p w14:paraId="30A370F3"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2661</w:t>
            </w:r>
          </w:p>
        </w:tc>
        <w:tc>
          <w:tcPr>
            <w:tcW w:w="882" w:type="dxa"/>
            <w:shd w:val="clear" w:color="auto" w:fill="auto"/>
            <w:noWrap/>
            <w:vAlign w:val="bottom"/>
            <w:hideMark/>
          </w:tcPr>
          <w:p w14:paraId="0930DEC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3.04 </w:t>
            </w:r>
          </w:p>
        </w:tc>
        <w:tc>
          <w:tcPr>
            <w:tcW w:w="1083" w:type="dxa"/>
            <w:shd w:val="clear" w:color="auto" w:fill="auto"/>
            <w:noWrap/>
            <w:vAlign w:val="bottom"/>
          </w:tcPr>
          <w:p w14:paraId="32DEB96E" w14:textId="2119E13E"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Latah</w:t>
            </w:r>
          </w:p>
        </w:tc>
        <w:tc>
          <w:tcPr>
            <w:tcW w:w="989" w:type="dxa"/>
            <w:shd w:val="clear" w:color="auto" w:fill="auto"/>
            <w:noWrap/>
            <w:vAlign w:val="bottom"/>
          </w:tcPr>
          <w:p w14:paraId="257C7B97" w14:textId="78E2CAE1"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1077</w:t>
            </w:r>
          </w:p>
        </w:tc>
        <w:tc>
          <w:tcPr>
            <w:tcW w:w="882" w:type="dxa"/>
            <w:shd w:val="clear" w:color="auto" w:fill="auto"/>
            <w:noWrap/>
            <w:vAlign w:val="bottom"/>
          </w:tcPr>
          <w:p w14:paraId="339E2666" w14:textId="2F8E254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r>
      <w:tr w:rsidR="00AA05B0" w:rsidRPr="00426A83" w14:paraId="220C2A3A" w14:textId="77777777" w:rsidTr="00AA05B0">
        <w:trPr>
          <w:trHeight w:val="255"/>
        </w:trPr>
        <w:tc>
          <w:tcPr>
            <w:tcW w:w="1083" w:type="dxa"/>
            <w:shd w:val="clear" w:color="auto" w:fill="auto"/>
            <w:noWrap/>
            <w:vAlign w:val="bottom"/>
            <w:hideMark/>
          </w:tcPr>
          <w:p w14:paraId="380E2690"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Boise</w:t>
            </w:r>
          </w:p>
        </w:tc>
        <w:tc>
          <w:tcPr>
            <w:tcW w:w="1022" w:type="dxa"/>
            <w:shd w:val="clear" w:color="auto" w:fill="auto"/>
            <w:noWrap/>
            <w:vAlign w:val="bottom"/>
            <w:hideMark/>
          </w:tcPr>
          <w:p w14:paraId="11EA381C"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1907</w:t>
            </w:r>
          </w:p>
        </w:tc>
        <w:tc>
          <w:tcPr>
            <w:tcW w:w="882" w:type="dxa"/>
            <w:shd w:val="clear" w:color="auto" w:fill="auto"/>
            <w:noWrap/>
            <w:vAlign w:val="bottom"/>
            <w:hideMark/>
          </w:tcPr>
          <w:p w14:paraId="61773CD2"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2.18 </w:t>
            </w:r>
          </w:p>
        </w:tc>
        <w:tc>
          <w:tcPr>
            <w:tcW w:w="1083" w:type="dxa"/>
            <w:shd w:val="clear" w:color="auto" w:fill="auto"/>
            <w:noWrap/>
            <w:vAlign w:val="bottom"/>
          </w:tcPr>
          <w:p w14:paraId="36653C66" w14:textId="7B3810D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Lemhi</w:t>
            </w:r>
          </w:p>
        </w:tc>
        <w:tc>
          <w:tcPr>
            <w:tcW w:w="989" w:type="dxa"/>
            <w:shd w:val="clear" w:color="auto" w:fill="auto"/>
            <w:noWrap/>
            <w:vAlign w:val="bottom"/>
          </w:tcPr>
          <w:p w14:paraId="64CAF569" w14:textId="30EB0D54"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4570</w:t>
            </w:r>
          </w:p>
        </w:tc>
        <w:tc>
          <w:tcPr>
            <w:tcW w:w="882" w:type="dxa"/>
            <w:shd w:val="clear" w:color="auto" w:fill="auto"/>
            <w:noWrap/>
            <w:vAlign w:val="bottom"/>
          </w:tcPr>
          <w:p w14:paraId="5935AD9C" w14:textId="446B27DB"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5.22 </w:t>
            </w:r>
          </w:p>
        </w:tc>
      </w:tr>
      <w:tr w:rsidR="00AA05B0" w:rsidRPr="00426A83" w14:paraId="04FCCA8E" w14:textId="77777777" w:rsidTr="00AA05B0">
        <w:trPr>
          <w:trHeight w:val="255"/>
        </w:trPr>
        <w:tc>
          <w:tcPr>
            <w:tcW w:w="1083" w:type="dxa"/>
            <w:shd w:val="clear" w:color="auto" w:fill="auto"/>
            <w:noWrap/>
            <w:vAlign w:val="bottom"/>
            <w:hideMark/>
          </w:tcPr>
          <w:p w14:paraId="47BCB2C2"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Bonner</w:t>
            </w:r>
          </w:p>
        </w:tc>
        <w:tc>
          <w:tcPr>
            <w:tcW w:w="1022" w:type="dxa"/>
            <w:shd w:val="clear" w:color="auto" w:fill="auto"/>
            <w:noWrap/>
            <w:vAlign w:val="bottom"/>
            <w:hideMark/>
          </w:tcPr>
          <w:p w14:paraId="2D22A57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1920</w:t>
            </w:r>
          </w:p>
        </w:tc>
        <w:tc>
          <w:tcPr>
            <w:tcW w:w="882" w:type="dxa"/>
            <w:shd w:val="clear" w:color="auto" w:fill="auto"/>
            <w:noWrap/>
            <w:vAlign w:val="bottom"/>
            <w:hideMark/>
          </w:tcPr>
          <w:p w14:paraId="253218FA"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2.19 </w:t>
            </w:r>
          </w:p>
        </w:tc>
        <w:tc>
          <w:tcPr>
            <w:tcW w:w="1083" w:type="dxa"/>
            <w:shd w:val="clear" w:color="auto" w:fill="auto"/>
            <w:noWrap/>
            <w:vAlign w:val="bottom"/>
          </w:tcPr>
          <w:p w14:paraId="0DF4ED64" w14:textId="5DE4DC51"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Lewis</w:t>
            </w:r>
          </w:p>
        </w:tc>
        <w:tc>
          <w:tcPr>
            <w:tcW w:w="989" w:type="dxa"/>
            <w:shd w:val="clear" w:color="auto" w:fill="auto"/>
            <w:noWrap/>
            <w:vAlign w:val="bottom"/>
          </w:tcPr>
          <w:p w14:paraId="0843BC25" w14:textId="2FE4EE83"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480</w:t>
            </w:r>
          </w:p>
        </w:tc>
        <w:tc>
          <w:tcPr>
            <w:tcW w:w="882" w:type="dxa"/>
            <w:shd w:val="clear" w:color="auto" w:fill="auto"/>
            <w:noWrap/>
            <w:vAlign w:val="bottom"/>
          </w:tcPr>
          <w:p w14:paraId="29958E5E" w14:textId="7C9EDE5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0.55 </w:t>
            </w:r>
          </w:p>
        </w:tc>
      </w:tr>
      <w:tr w:rsidR="00AA05B0" w:rsidRPr="00426A83" w14:paraId="62546979" w14:textId="77777777" w:rsidTr="00AA05B0">
        <w:trPr>
          <w:trHeight w:val="255"/>
        </w:trPr>
        <w:tc>
          <w:tcPr>
            <w:tcW w:w="1083" w:type="dxa"/>
            <w:shd w:val="clear" w:color="auto" w:fill="auto"/>
            <w:noWrap/>
            <w:vAlign w:val="bottom"/>
            <w:hideMark/>
          </w:tcPr>
          <w:p w14:paraId="70F363A7"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Bonneville</w:t>
            </w:r>
          </w:p>
        </w:tc>
        <w:tc>
          <w:tcPr>
            <w:tcW w:w="1022" w:type="dxa"/>
            <w:shd w:val="clear" w:color="auto" w:fill="auto"/>
            <w:noWrap/>
            <w:vAlign w:val="bottom"/>
            <w:hideMark/>
          </w:tcPr>
          <w:p w14:paraId="4442F51B"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1901</w:t>
            </w:r>
          </w:p>
        </w:tc>
        <w:tc>
          <w:tcPr>
            <w:tcW w:w="882" w:type="dxa"/>
            <w:shd w:val="clear" w:color="auto" w:fill="auto"/>
            <w:noWrap/>
            <w:vAlign w:val="bottom"/>
            <w:hideMark/>
          </w:tcPr>
          <w:p w14:paraId="57C1D4F7"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83" w:type="dxa"/>
            <w:shd w:val="clear" w:color="auto" w:fill="auto"/>
            <w:noWrap/>
            <w:vAlign w:val="bottom"/>
          </w:tcPr>
          <w:p w14:paraId="4213DE7F" w14:textId="75C3DB9C"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Lincoln</w:t>
            </w:r>
          </w:p>
        </w:tc>
        <w:tc>
          <w:tcPr>
            <w:tcW w:w="989" w:type="dxa"/>
            <w:shd w:val="clear" w:color="auto" w:fill="auto"/>
            <w:noWrap/>
            <w:vAlign w:val="bottom"/>
          </w:tcPr>
          <w:p w14:paraId="0F4B9504" w14:textId="75CCD832"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1206</w:t>
            </w:r>
          </w:p>
        </w:tc>
        <w:tc>
          <w:tcPr>
            <w:tcW w:w="882" w:type="dxa"/>
            <w:shd w:val="clear" w:color="auto" w:fill="auto"/>
            <w:noWrap/>
            <w:vAlign w:val="bottom"/>
          </w:tcPr>
          <w:p w14:paraId="61A07CFD" w14:textId="4E8EDEFD"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1.38 </w:t>
            </w:r>
          </w:p>
        </w:tc>
      </w:tr>
      <w:tr w:rsidR="00AA05B0" w:rsidRPr="00426A83" w14:paraId="7A6E5067" w14:textId="77777777" w:rsidTr="00AA05B0">
        <w:trPr>
          <w:trHeight w:val="255"/>
        </w:trPr>
        <w:tc>
          <w:tcPr>
            <w:tcW w:w="1083" w:type="dxa"/>
            <w:shd w:val="clear" w:color="auto" w:fill="auto"/>
            <w:noWrap/>
            <w:vAlign w:val="bottom"/>
            <w:hideMark/>
          </w:tcPr>
          <w:p w14:paraId="5B5F248B" w14:textId="77777777"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Boundary</w:t>
            </w:r>
          </w:p>
        </w:tc>
        <w:tc>
          <w:tcPr>
            <w:tcW w:w="1022" w:type="dxa"/>
            <w:shd w:val="clear" w:color="auto" w:fill="auto"/>
            <w:noWrap/>
            <w:vAlign w:val="bottom"/>
            <w:hideMark/>
          </w:tcPr>
          <w:p w14:paraId="6C09BD50"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1278</w:t>
            </w:r>
          </w:p>
        </w:tc>
        <w:tc>
          <w:tcPr>
            <w:tcW w:w="882" w:type="dxa"/>
            <w:shd w:val="clear" w:color="auto" w:fill="auto"/>
            <w:noWrap/>
            <w:vAlign w:val="bottom"/>
            <w:hideMark/>
          </w:tcPr>
          <w:p w14:paraId="4CB09794" w14:textId="77777777"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1.46 </w:t>
            </w:r>
          </w:p>
        </w:tc>
        <w:tc>
          <w:tcPr>
            <w:tcW w:w="1083" w:type="dxa"/>
            <w:shd w:val="clear" w:color="auto" w:fill="auto"/>
            <w:noWrap/>
            <w:vAlign w:val="bottom"/>
          </w:tcPr>
          <w:p w14:paraId="2DB3E9CD" w14:textId="5A0D6E3E" w:rsidR="00AA05B0" w:rsidRPr="00426A83" w:rsidRDefault="00AA05B0" w:rsidP="000022A6">
            <w:pPr>
              <w:rPr>
                <w:rFonts w:ascii="Arial Narrow" w:hAnsi="Arial Narrow"/>
                <w:color w:val="215868" w:themeColor="accent5" w:themeShade="80"/>
                <w:sz w:val="20"/>
              </w:rPr>
            </w:pPr>
            <w:r w:rsidRPr="00426A83">
              <w:rPr>
                <w:rFonts w:ascii="Arial Narrow" w:hAnsi="Arial Narrow"/>
                <w:color w:val="215868" w:themeColor="accent5" w:themeShade="80"/>
                <w:sz w:val="20"/>
              </w:rPr>
              <w:t>Madison</w:t>
            </w:r>
          </w:p>
        </w:tc>
        <w:tc>
          <w:tcPr>
            <w:tcW w:w="989" w:type="dxa"/>
            <w:shd w:val="clear" w:color="auto" w:fill="auto"/>
            <w:noWrap/>
            <w:vAlign w:val="bottom"/>
          </w:tcPr>
          <w:p w14:paraId="6A1D1990" w14:textId="504B34A9"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473</w:t>
            </w:r>
          </w:p>
        </w:tc>
        <w:tc>
          <w:tcPr>
            <w:tcW w:w="882" w:type="dxa"/>
            <w:shd w:val="clear" w:color="auto" w:fill="auto"/>
            <w:noWrap/>
            <w:vAlign w:val="bottom"/>
          </w:tcPr>
          <w:p w14:paraId="796A9D13" w14:textId="70302610" w:rsidR="00AA05B0" w:rsidRPr="00426A83" w:rsidRDefault="00AA05B0" w:rsidP="000022A6">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0.54 </w:t>
            </w:r>
          </w:p>
        </w:tc>
      </w:tr>
      <w:tr w:rsidR="00AA05B0" w:rsidRPr="00426A83" w14:paraId="08A9F0E1" w14:textId="77777777" w:rsidTr="00AA05B0">
        <w:trPr>
          <w:trHeight w:val="255"/>
        </w:trPr>
        <w:tc>
          <w:tcPr>
            <w:tcW w:w="1083" w:type="dxa"/>
            <w:shd w:val="clear" w:color="auto" w:fill="auto"/>
            <w:noWrap/>
            <w:vAlign w:val="bottom"/>
          </w:tcPr>
          <w:p w14:paraId="03908688" w14:textId="6C480D3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Butte</w:t>
            </w:r>
          </w:p>
        </w:tc>
        <w:tc>
          <w:tcPr>
            <w:tcW w:w="1022" w:type="dxa"/>
            <w:shd w:val="clear" w:color="auto" w:fill="auto"/>
            <w:noWrap/>
            <w:vAlign w:val="bottom"/>
          </w:tcPr>
          <w:p w14:paraId="5A85C56E" w14:textId="233124E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2234</w:t>
            </w:r>
          </w:p>
        </w:tc>
        <w:tc>
          <w:tcPr>
            <w:tcW w:w="882" w:type="dxa"/>
            <w:shd w:val="clear" w:color="auto" w:fill="auto"/>
            <w:noWrap/>
            <w:vAlign w:val="bottom"/>
          </w:tcPr>
          <w:p w14:paraId="58F3E560" w14:textId="2F622F1A"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2.55 </w:t>
            </w:r>
          </w:p>
        </w:tc>
        <w:tc>
          <w:tcPr>
            <w:tcW w:w="1083" w:type="dxa"/>
            <w:shd w:val="clear" w:color="auto" w:fill="auto"/>
            <w:noWrap/>
            <w:vAlign w:val="bottom"/>
          </w:tcPr>
          <w:p w14:paraId="1FB37A9B" w14:textId="1E0FCA5C"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Minidoka</w:t>
            </w:r>
          </w:p>
        </w:tc>
        <w:tc>
          <w:tcPr>
            <w:tcW w:w="989" w:type="dxa"/>
            <w:shd w:val="clear" w:color="auto" w:fill="auto"/>
            <w:noWrap/>
            <w:vAlign w:val="bottom"/>
          </w:tcPr>
          <w:p w14:paraId="437340E9" w14:textId="5ED2E98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763</w:t>
            </w:r>
          </w:p>
        </w:tc>
        <w:tc>
          <w:tcPr>
            <w:tcW w:w="882" w:type="dxa"/>
            <w:shd w:val="clear" w:color="auto" w:fill="auto"/>
            <w:noWrap/>
            <w:vAlign w:val="bottom"/>
          </w:tcPr>
          <w:p w14:paraId="378DF1C1" w14:textId="5C561CD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0.87 </w:t>
            </w:r>
          </w:p>
        </w:tc>
      </w:tr>
      <w:tr w:rsidR="00AA05B0" w:rsidRPr="00426A83" w14:paraId="4B7CB666" w14:textId="77777777" w:rsidTr="00AA05B0">
        <w:trPr>
          <w:trHeight w:val="255"/>
        </w:trPr>
        <w:tc>
          <w:tcPr>
            <w:tcW w:w="1083" w:type="dxa"/>
            <w:shd w:val="clear" w:color="auto" w:fill="auto"/>
            <w:noWrap/>
            <w:vAlign w:val="bottom"/>
          </w:tcPr>
          <w:p w14:paraId="7A8AACE5" w14:textId="64B5C937"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Camas</w:t>
            </w:r>
          </w:p>
        </w:tc>
        <w:tc>
          <w:tcPr>
            <w:tcW w:w="1022" w:type="dxa"/>
            <w:shd w:val="clear" w:color="auto" w:fill="auto"/>
            <w:noWrap/>
            <w:vAlign w:val="bottom"/>
          </w:tcPr>
          <w:p w14:paraId="3517C022" w14:textId="2CF53BD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1079</w:t>
            </w:r>
          </w:p>
        </w:tc>
        <w:tc>
          <w:tcPr>
            <w:tcW w:w="882" w:type="dxa"/>
            <w:shd w:val="clear" w:color="auto" w:fill="auto"/>
            <w:noWrap/>
            <w:vAlign w:val="bottom"/>
          </w:tcPr>
          <w:p w14:paraId="6B32A467" w14:textId="5705806B"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1083" w:type="dxa"/>
            <w:shd w:val="clear" w:color="auto" w:fill="auto"/>
            <w:noWrap/>
            <w:vAlign w:val="bottom"/>
          </w:tcPr>
          <w:p w14:paraId="10D9EB46" w14:textId="6E9E19EE"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Nez Perce</w:t>
            </w:r>
          </w:p>
        </w:tc>
        <w:tc>
          <w:tcPr>
            <w:tcW w:w="989" w:type="dxa"/>
            <w:shd w:val="clear" w:color="auto" w:fill="auto"/>
            <w:noWrap/>
            <w:vAlign w:val="bottom"/>
          </w:tcPr>
          <w:p w14:paraId="1323869E" w14:textId="4255C2E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856</w:t>
            </w:r>
          </w:p>
        </w:tc>
        <w:tc>
          <w:tcPr>
            <w:tcW w:w="882" w:type="dxa"/>
            <w:shd w:val="clear" w:color="auto" w:fill="auto"/>
            <w:noWrap/>
            <w:vAlign w:val="bottom"/>
          </w:tcPr>
          <w:p w14:paraId="54F018FD" w14:textId="6F22490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0.98 </w:t>
            </w:r>
          </w:p>
        </w:tc>
      </w:tr>
      <w:tr w:rsidR="00AA05B0" w:rsidRPr="00426A83" w14:paraId="444C3209" w14:textId="77777777" w:rsidTr="00AA05B0">
        <w:trPr>
          <w:trHeight w:val="255"/>
        </w:trPr>
        <w:tc>
          <w:tcPr>
            <w:tcW w:w="1083" w:type="dxa"/>
            <w:shd w:val="clear" w:color="auto" w:fill="auto"/>
            <w:noWrap/>
            <w:vAlign w:val="bottom"/>
          </w:tcPr>
          <w:p w14:paraId="0A6E4E02" w14:textId="091C767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Canyon</w:t>
            </w:r>
          </w:p>
        </w:tc>
        <w:tc>
          <w:tcPr>
            <w:tcW w:w="1022" w:type="dxa"/>
            <w:shd w:val="clear" w:color="auto" w:fill="auto"/>
            <w:noWrap/>
            <w:vAlign w:val="bottom"/>
          </w:tcPr>
          <w:p w14:paraId="44B36C3B" w14:textId="23FA8FA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604</w:t>
            </w:r>
          </w:p>
        </w:tc>
        <w:tc>
          <w:tcPr>
            <w:tcW w:w="882" w:type="dxa"/>
            <w:shd w:val="clear" w:color="auto" w:fill="auto"/>
            <w:noWrap/>
            <w:vAlign w:val="bottom"/>
          </w:tcPr>
          <w:p w14:paraId="324BF48B" w14:textId="5E659EE8"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1083" w:type="dxa"/>
            <w:shd w:val="clear" w:color="auto" w:fill="auto"/>
            <w:noWrap/>
            <w:vAlign w:val="bottom"/>
          </w:tcPr>
          <w:p w14:paraId="26F13B8F" w14:textId="11581465"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Oneida</w:t>
            </w:r>
          </w:p>
        </w:tc>
        <w:tc>
          <w:tcPr>
            <w:tcW w:w="989" w:type="dxa"/>
            <w:shd w:val="clear" w:color="auto" w:fill="auto"/>
            <w:noWrap/>
            <w:vAlign w:val="bottom"/>
          </w:tcPr>
          <w:p w14:paraId="0F86A63B" w14:textId="7B13169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1202</w:t>
            </w:r>
          </w:p>
        </w:tc>
        <w:tc>
          <w:tcPr>
            <w:tcW w:w="882" w:type="dxa"/>
            <w:shd w:val="clear" w:color="auto" w:fill="auto"/>
            <w:noWrap/>
            <w:vAlign w:val="bottom"/>
          </w:tcPr>
          <w:p w14:paraId="3BA3F1A3" w14:textId="2655BB8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1.37 </w:t>
            </w:r>
          </w:p>
        </w:tc>
      </w:tr>
      <w:tr w:rsidR="00AA05B0" w:rsidRPr="00426A83" w14:paraId="0409976B" w14:textId="77777777" w:rsidTr="00AA05B0">
        <w:trPr>
          <w:trHeight w:val="255"/>
        </w:trPr>
        <w:tc>
          <w:tcPr>
            <w:tcW w:w="1083" w:type="dxa"/>
            <w:shd w:val="clear" w:color="auto" w:fill="auto"/>
            <w:noWrap/>
            <w:vAlign w:val="bottom"/>
          </w:tcPr>
          <w:p w14:paraId="3A285072" w14:textId="7B8E0EA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Caribou</w:t>
            </w:r>
          </w:p>
        </w:tc>
        <w:tc>
          <w:tcPr>
            <w:tcW w:w="1022" w:type="dxa"/>
            <w:shd w:val="clear" w:color="auto" w:fill="auto"/>
            <w:noWrap/>
            <w:vAlign w:val="bottom"/>
          </w:tcPr>
          <w:p w14:paraId="37A302B3" w14:textId="13D638B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1799</w:t>
            </w:r>
          </w:p>
        </w:tc>
        <w:tc>
          <w:tcPr>
            <w:tcW w:w="882" w:type="dxa"/>
            <w:shd w:val="clear" w:color="auto" w:fill="auto"/>
            <w:noWrap/>
            <w:vAlign w:val="bottom"/>
          </w:tcPr>
          <w:p w14:paraId="03AB6C57" w14:textId="1C49FEE0"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2.06 </w:t>
            </w:r>
          </w:p>
        </w:tc>
        <w:tc>
          <w:tcPr>
            <w:tcW w:w="1083" w:type="dxa"/>
            <w:shd w:val="clear" w:color="auto" w:fill="auto"/>
            <w:noWrap/>
            <w:vAlign w:val="bottom"/>
          </w:tcPr>
          <w:p w14:paraId="6267FAE1" w14:textId="4206FD09"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Owyhee</w:t>
            </w:r>
          </w:p>
        </w:tc>
        <w:tc>
          <w:tcPr>
            <w:tcW w:w="989" w:type="dxa"/>
            <w:shd w:val="clear" w:color="auto" w:fill="auto"/>
            <w:noWrap/>
            <w:vAlign w:val="bottom"/>
          </w:tcPr>
          <w:p w14:paraId="4A106932" w14:textId="21260C7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7697</w:t>
            </w:r>
          </w:p>
        </w:tc>
        <w:tc>
          <w:tcPr>
            <w:tcW w:w="882" w:type="dxa"/>
            <w:shd w:val="clear" w:color="auto" w:fill="auto"/>
            <w:noWrap/>
            <w:vAlign w:val="bottom"/>
          </w:tcPr>
          <w:p w14:paraId="72A08CBC" w14:textId="4BB86ADF"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8.79 </w:t>
            </w:r>
          </w:p>
        </w:tc>
      </w:tr>
      <w:tr w:rsidR="00AA05B0" w:rsidRPr="00426A83" w14:paraId="13B5E622" w14:textId="77777777" w:rsidTr="00AA05B0">
        <w:trPr>
          <w:trHeight w:val="255"/>
        </w:trPr>
        <w:tc>
          <w:tcPr>
            <w:tcW w:w="1083" w:type="dxa"/>
            <w:shd w:val="clear" w:color="auto" w:fill="auto"/>
            <w:noWrap/>
            <w:vAlign w:val="bottom"/>
          </w:tcPr>
          <w:p w14:paraId="7F029B8A" w14:textId="5DC394AA"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Cassia</w:t>
            </w:r>
          </w:p>
        </w:tc>
        <w:tc>
          <w:tcPr>
            <w:tcW w:w="1022" w:type="dxa"/>
            <w:shd w:val="clear" w:color="auto" w:fill="auto"/>
            <w:noWrap/>
            <w:vAlign w:val="bottom"/>
          </w:tcPr>
          <w:p w14:paraId="2215FBC4" w14:textId="332B2DED"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2580</w:t>
            </w:r>
          </w:p>
        </w:tc>
        <w:tc>
          <w:tcPr>
            <w:tcW w:w="882" w:type="dxa"/>
            <w:shd w:val="clear" w:color="auto" w:fill="auto"/>
            <w:noWrap/>
            <w:vAlign w:val="bottom"/>
          </w:tcPr>
          <w:p w14:paraId="406840C8" w14:textId="1A8DB3B8"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2.95 </w:t>
            </w:r>
          </w:p>
        </w:tc>
        <w:tc>
          <w:tcPr>
            <w:tcW w:w="1083" w:type="dxa"/>
            <w:shd w:val="clear" w:color="auto" w:fill="auto"/>
            <w:noWrap/>
            <w:vAlign w:val="bottom"/>
          </w:tcPr>
          <w:p w14:paraId="7A8A036E" w14:textId="7CE8D7B5"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Payette</w:t>
            </w:r>
          </w:p>
        </w:tc>
        <w:tc>
          <w:tcPr>
            <w:tcW w:w="989" w:type="dxa"/>
            <w:shd w:val="clear" w:color="auto" w:fill="auto"/>
            <w:noWrap/>
            <w:vAlign w:val="bottom"/>
          </w:tcPr>
          <w:p w14:paraId="1BB29DCE" w14:textId="0BA82DC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410</w:t>
            </w:r>
          </w:p>
        </w:tc>
        <w:tc>
          <w:tcPr>
            <w:tcW w:w="882" w:type="dxa"/>
            <w:shd w:val="clear" w:color="auto" w:fill="auto"/>
            <w:noWrap/>
            <w:vAlign w:val="bottom"/>
          </w:tcPr>
          <w:p w14:paraId="2E5CB1A4" w14:textId="4DF0B18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0.47 </w:t>
            </w:r>
          </w:p>
        </w:tc>
      </w:tr>
      <w:tr w:rsidR="00AA05B0" w:rsidRPr="00426A83" w14:paraId="7ADE068C" w14:textId="77777777" w:rsidTr="00AA05B0">
        <w:trPr>
          <w:trHeight w:val="255"/>
        </w:trPr>
        <w:tc>
          <w:tcPr>
            <w:tcW w:w="1083" w:type="dxa"/>
            <w:shd w:val="clear" w:color="auto" w:fill="auto"/>
            <w:noWrap/>
            <w:vAlign w:val="bottom"/>
          </w:tcPr>
          <w:p w14:paraId="444A515C" w14:textId="49344C6C"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Clark</w:t>
            </w:r>
          </w:p>
        </w:tc>
        <w:tc>
          <w:tcPr>
            <w:tcW w:w="1022" w:type="dxa"/>
            <w:shd w:val="clear" w:color="auto" w:fill="auto"/>
            <w:noWrap/>
            <w:vAlign w:val="bottom"/>
          </w:tcPr>
          <w:p w14:paraId="72201A4C" w14:textId="7664960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1765</w:t>
            </w:r>
          </w:p>
        </w:tc>
        <w:tc>
          <w:tcPr>
            <w:tcW w:w="882" w:type="dxa"/>
            <w:shd w:val="clear" w:color="auto" w:fill="auto"/>
            <w:noWrap/>
            <w:vAlign w:val="bottom"/>
          </w:tcPr>
          <w:p w14:paraId="549DDAAE" w14:textId="0BDBD592"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2.02 </w:t>
            </w:r>
          </w:p>
        </w:tc>
        <w:tc>
          <w:tcPr>
            <w:tcW w:w="1083" w:type="dxa"/>
            <w:shd w:val="clear" w:color="auto" w:fill="auto"/>
            <w:noWrap/>
            <w:vAlign w:val="bottom"/>
          </w:tcPr>
          <w:p w14:paraId="46DB35D4" w14:textId="25D6CB5A"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Power</w:t>
            </w:r>
          </w:p>
        </w:tc>
        <w:tc>
          <w:tcPr>
            <w:tcW w:w="989" w:type="dxa"/>
            <w:shd w:val="clear" w:color="auto" w:fill="auto"/>
            <w:noWrap/>
            <w:vAlign w:val="bottom"/>
          </w:tcPr>
          <w:p w14:paraId="62ACE014" w14:textId="3C44109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1443</w:t>
            </w:r>
          </w:p>
        </w:tc>
        <w:tc>
          <w:tcPr>
            <w:tcW w:w="882" w:type="dxa"/>
            <w:shd w:val="clear" w:color="auto" w:fill="auto"/>
            <w:noWrap/>
            <w:vAlign w:val="bottom"/>
          </w:tcPr>
          <w:p w14:paraId="1D1D45D8" w14:textId="1A3D42FB"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1.65 </w:t>
            </w:r>
          </w:p>
        </w:tc>
      </w:tr>
      <w:tr w:rsidR="00AA05B0" w:rsidRPr="00426A83" w14:paraId="557E35F5" w14:textId="77777777" w:rsidTr="00AA05B0">
        <w:trPr>
          <w:trHeight w:val="255"/>
        </w:trPr>
        <w:tc>
          <w:tcPr>
            <w:tcW w:w="1083" w:type="dxa"/>
            <w:shd w:val="clear" w:color="auto" w:fill="auto"/>
            <w:noWrap/>
            <w:vAlign w:val="bottom"/>
          </w:tcPr>
          <w:p w14:paraId="32AE1009" w14:textId="0B9D0BD9"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Clearwater</w:t>
            </w:r>
          </w:p>
        </w:tc>
        <w:tc>
          <w:tcPr>
            <w:tcW w:w="1022" w:type="dxa"/>
            <w:shd w:val="clear" w:color="auto" w:fill="auto"/>
            <w:noWrap/>
            <w:vAlign w:val="bottom"/>
          </w:tcPr>
          <w:p w14:paraId="5AAA07C1" w14:textId="22DC3417"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2488</w:t>
            </w:r>
          </w:p>
        </w:tc>
        <w:tc>
          <w:tcPr>
            <w:tcW w:w="882" w:type="dxa"/>
            <w:shd w:val="clear" w:color="auto" w:fill="auto"/>
            <w:noWrap/>
            <w:vAlign w:val="bottom"/>
          </w:tcPr>
          <w:p w14:paraId="47F852D3" w14:textId="74C708E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2.84 </w:t>
            </w:r>
          </w:p>
        </w:tc>
        <w:tc>
          <w:tcPr>
            <w:tcW w:w="1083" w:type="dxa"/>
            <w:shd w:val="clear" w:color="auto" w:fill="auto"/>
            <w:noWrap/>
            <w:vAlign w:val="bottom"/>
          </w:tcPr>
          <w:p w14:paraId="1C8E4F15" w14:textId="3B3F4DA8"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Shoshone</w:t>
            </w:r>
          </w:p>
        </w:tc>
        <w:tc>
          <w:tcPr>
            <w:tcW w:w="989" w:type="dxa"/>
            <w:shd w:val="clear" w:color="auto" w:fill="auto"/>
            <w:noWrap/>
            <w:vAlign w:val="bottom"/>
          </w:tcPr>
          <w:p w14:paraId="1A7C97B9" w14:textId="069301E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2636</w:t>
            </w:r>
          </w:p>
        </w:tc>
        <w:tc>
          <w:tcPr>
            <w:tcW w:w="882" w:type="dxa"/>
            <w:shd w:val="clear" w:color="auto" w:fill="auto"/>
            <w:noWrap/>
            <w:vAlign w:val="bottom"/>
          </w:tcPr>
          <w:p w14:paraId="38D54570" w14:textId="50BC7C3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3.01 </w:t>
            </w:r>
          </w:p>
        </w:tc>
      </w:tr>
      <w:tr w:rsidR="00AA05B0" w:rsidRPr="00426A83" w14:paraId="24758835" w14:textId="77777777" w:rsidTr="00AA05B0">
        <w:trPr>
          <w:trHeight w:val="255"/>
        </w:trPr>
        <w:tc>
          <w:tcPr>
            <w:tcW w:w="1083" w:type="dxa"/>
            <w:shd w:val="clear" w:color="auto" w:fill="auto"/>
            <w:noWrap/>
            <w:vAlign w:val="bottom"/>
          </w:tcPr>
          <w:p w14:paraId="65E8E3C0" w14:textId="12AE839B"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Custer</w:t>
            </w:r>
          </w:p>
        </w:tc>
        <w:tc>
          <w:tcPr>
            <w:tcW w:w="1022" w:type="dxa"/>
            <w:shd w:val="clear" w:color="auto" w:fill="auto"/>
            <w:noWrap/>
            <w:vAlign w:val="bottom"/>
          </w:tcPr>
          <w:p w14:paraId="32761E3C" w14:textId="4BFB8F93"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4937</w:t>
            </w:r>
          </w:p>
        </w:tc>
        <w:tc>
          <w:tcPr>
            <w:tcW w:w="882" w:type="dxa"/>
            <w:shd w:val="clear" w:color="auto" w:fill="auto"/>
            <w:noWrap/>
            <w:vAlign w:val="bottom"/>
          </w:tcPr>
          <w:p w14:paraId="7872A355" w14:textId="0CBFD212"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5.64 </w:t>
            </w:r>
          </w:p>
        </w:tc>
        <w:tc>
          <w:tcPr>
            <w:tcW w:w="1083" w:type="dxa"/>
            <w:shd w:val="clear" w:color="auto" w:fill="auto"/>
            <w:noWrap/>
            <w:vAlign w:val="bottom"/>
          </w:tcPr>
          <w:p w14:paraId="60F0F547" w14:textId="69F54102"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Teton</w:t>
            </w:r>
          </w:p>
        </w:tc>
        <w:tc>
          <w:tcPr>
            <w:tcW w:w="989" w:type="dxa"/>
            <w:shd w:val="clear" w:color="auto" w:fill="auto"/>
            <w:noWrap/>
            <w:vAlign w:val="bottom"/>
          </w:tcPr>
          <w:p w14:paraId="16FE994F" w14:textId="00CBE86F"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451</w:t>
            </w:r>
          </w:p>
        </w:tc>
        <w:tc>
          <w:tcPr>
            <w:tcW w:w="882" w:type="dxa"/>
            <w:shd w:val="clear" w:color="auto" w:fill="auto"/>
            <w:noWrap/>
            <w:vAlign w:val="bottom"/>
          </w:tcPr>
          <w:p w14:paraId="404C307C" w14:textId="29A0A3B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0.52 </w:t>
            </w:r>
          </w:p>
        </w:tc>
      </w:tr>
      <w:tr w:rsidR="00AA05B0" w:rsidRPr="00426A83" w14:paraId="6CF7EAE4" w14:textId="77777777" w:rsidTr="00AA05B0">
        <w:trPr>
          <w:trHeight w:val="255"/>
        </w:trPr>
        <w:tc>
          <w:tcPr>
            <w:tcW w:w="1083" w:type="dxa"/>
            <w:shd w:val="clear" w:color="auto" w:fill="auto"/>
            <w:noWrap/>
            <w:vAlign w:val="bottom"/>
          </w:tcPr>
          <w:p w14:paraId="6F00E65B" w14:textId="35EAC3F2"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Elmore</w:t>
            </w:r>
          </w:p>
        </w:tc>
        <w:tc>
          <w:tcPr>
            <w:tcW w:w="1022" w:type="dxa"/>
            <w:shd w:val="clear" w:color="auto" w:fill="auto"/>
            <w:noWrap/>
            <w:vAlign w:val="bottom"/>
          </w:tcPr>
          <w:p w14:paraId="10921C36" w14:textId="0A6BF8BA"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3101</w:t>
            </w:r>
          </w:p>
        </w:tc>
        <w:tc>
          <w:tcPr>
            <w:tcW w:w="882" w:type="dxa"/>
            <w:shd w:val="clear" w:color="auto" w:fill="auto"/>
            <w:noWrap/>
            <w:vAlign w:val="bottom"/>
          </w:tcPr>
          <w:p w14:paraId="5050ED80" w14:textId="6B31BAE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3.54 </w:t>
            </w:r>
          </w:p>
        </w:tc>
        <w:tc>
          <w:tcPr>
            <w:tcW w:w="1083" w:type="dxa"/>
            <w:shd w:val="clear" w:color="auto" w:fill="auto"/>
            <w:noWrap/>
            <w:vAlign w:val="bottom"/>
          </w:tcPr>
          <w:p w14:paraId="4BB435F2" w14:textId="12B5A8EF"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Twin Falls</w:t>
            </w:r>
          </w:p>
        </w:tc>
        <w:tc>
          <w:tcPr>
            <w:tcW w:w="989" w:type="dxa"/>
            <w:shd w:val="clear" w:color="auto" w:fill="auto"/>
            <w:noWrap/>
            <w:vAlign w:val="bottom"/>
          </w:tcPr>
          <w:p w14:paraId="5B8654B6" w14:textId="5E1E84B1"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1928</w:t>
            </w:r>
          </w:p>
        </w:tc>
        <w:tc>
          <w:tcPr>
            <w:tcW w:w="882" w:type="dxa"/>
            <w:shd w:val="clear" w:color="auto" w:fill="auto"/>
            <w:noWrap/>
            <w:vAlign w:val="bottom"/>
          </w:tcPr>
          <w:p w14:paraId="4B6CB51D" w14:textId="53D574C5"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2.20 </w:t>
            </w:r>
          </w:p>
        </w:tc>
      </w:tr>
      <w:tr w:rsidR="00AA05B0" w:rsidRPr="00426A83" w14:paraId="3B880C86" w14:textId="77777777" w:rsidTr="00AA05B0">
        <w:trPr>
          <w:trHeight w:val="255"/>
        </w:trPr>
        <w:tc>
          <w:tcPr>
            <w:tcW w:w="1083" w:type="dxa"/>
            <w:shd w:val="clear" w:color="auto" w:fill="auto"/>
            <w:noWrap/>
            <w:vAlign w:val="bottom"/>
          </w:tcPr>
          <w:p w14:paraId="45CC2F1A" w14:textId="6DDD219D"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Franklin</w:t>
            </w:r>
          </w:p>
        </w:tc>
        <w:tc>
          <w:tcPr>
            <w:tcW w:w="1022" w:type="dxa"/>
            <w:shd w:val="clear" w:color="auto" w:fill="auto"/>
            <w:noWrap/>
            <w:vAlign w:val="bottom"/>
          </w:tcPr>
          <w:p w14:paraId="4537C28D" w14:textId="575F664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668</w:t>
            </w:r>
          </w:p>
        </w:tc>
        <w:tc>
          <w:tcPr>
            <w:tcW w:w="882" w:type="dxa"/>
            <w:shd w:val="clear" w:color="auto" w:fill="auto"/>
            <w:noWrap/>
            <w:vAlign w:val="bottom"/>
          </w:tcPr>
          <w:p w14:paraId="072F675B" w14:textId="01E31DA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0.76 </w:t>
            </w:r>
          </w:p>
        </w:tc>
        <w:tc>
          <w:tcPr>
            <w:tcW w:w="1083" w:type="dxa"/>
            <w:shd w:val="clear" w:color="auto" w:fill="auto"/>
            <w:noWrap/>
            <w:vAlign w:val="bottom"/>
          </w:tcPr>
          <w:p w14:paraId="409CB027" w14:textId="3EED9277"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Valley</w:t>
            </w:r>
          </w:p>
        </w:tc>
        <w:tc>
          <w:tcPr>
            <w:tcW w:w="989" w:type="dxa"/>
            <w:shd w:val="clear" w:color="auto" w:fill="auto"/>
            <w:noWrap/>
            <w:vAlign w:val="bottom"/>
          </w:tcPr>
          <w:p w14:paraId="561E9472" w14:textId="3B18C47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3734</w:t>
            </w:r>
          </w:p>
        </w:tc>
        <w:tc>
          <w:tcPr>
            <w:tcW w:w="882" w:type="dxa"/>
            <w:shd w:val="clear" w:color="auto" w:fill="auto"/>
            <w:noWrap/>
            <w:vAlign w:val="bottom"/>
          </w:tcPr>
          <w:p w14:paraId="6E31AFCE" w14:textId="4035A58E"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4.27 </w:t>
            </w:r>
          </w:p>
        </w:tc>
      </w:tr>
      <w:tr w:rsidR="00AA05B0" w:rsidRPr="00426A83" w14:paraId="3E78235D" w14:textId="77777777" w:rsidTr="00AA05B0">
        <w:trPr>
          <w:trHeight w:val="255"/>
        </w:trPr>
        <w:tc>
          <w:tcPr>
            <w:tcW w:w="1083" w:type="dxa"/>
            <w:shd w:val="clear" w:color="auto" w:fill="auto"/>
            <w:noWrap/>
            <w:vAlign w:val="bottom"/>
          </w:tcPr>
          <w:p w14:paraId="2036705B" w14:textId="00F4D561"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Fremont</w:t>
            </w:r>
          </w:p>
        </w:tc>
        <w:tc>
          <w:tcPr>
            <w:tcW w:w="1022" w:type="dxa"/>
            <w:shd w:val="clear" w:color="auto" w:fill="auto"/>
            <w:noWrap/>
            <w:vAlign w:val="bottom"/>
          </w:tcPr>
          <w:p w14:paraId="63811AFD" w14:textId="4BAA9194"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1896</w:t>
            </w:r>
          </w:p>
        </w:tc>
        <w:tc>
          <w:tcPr>
            <w:tcW w:w="882" w:type="dxa"/>
            <w:shd w:val="clear" w:color="auto" w:fill="auto"/>
            <w:noWrap/>
            <w:vAlign w:val="bottom"/>
          </w:tcPr>
          <w:p w14:paraId="6AF54422" w14:textId="699FB319"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83" w:type="dxa"/>
            <w:shd w:val="clear" w:color="auto" w:fill="auto"/>
            <w:noWrap/>
            <w:vAlign w:val="bottom"/>
          </w:tcPr>
          <w:p w14:paraId="5E43BF97" w14:textId="651D0563" w:rsidR="00AA05B0" w:rsidRPr="00426A83" w:rsidRDefault="00AA05B0" w:rsidP="00AA05B0">
            <w:pPr>
              <w:rPr>
                <w:rFonts w:ascii="Arial Narrow" w:hAnsi="Arial Narrow"/>
                <w:color w:val="215868" w:themeColor="accent5" w:themeShade="80"/>
                <w:sz w:val="20"/>
              </w:rPr>
            </w:pPr>
            <w:r w:rsidRPr="00426A83">
              <w:rPr>
                <w:rFonts w:ascii="Arial Narrow" w:hAnsi="Arial Narrow"/>
                <w:color w:val="215868" w:themeColor="accent5" w:themeShade="80"/>
                <w:sz w:val="20"/>
              </w:rPr>
              <w:t>Washington</w:t>
            </w:r>
          </w:p>
        </w:tc>
        <w:tc>
          <w:tcPr>
            <w:tcW w:w="989" w:type="dxa"/>
            <w:shd w:val="clear" w:color="auto" w:fill="auto"/>
            <w:noWrap/>
            <w:vAlign w:val="bottom"/>
          </w:tcPr>
          <w:p w14:paraId="6819EBC7" w14:textId="256487C6"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1474</w:t>
            </w:r>
          </w:p>
        </w:tc>
        <w:tc>
          <w:tcPr>
            <w:tcW w:w="882" w:type="dxa"/>
            <w:shd w:val="clear" w:color="auto" w:fill="auto"/>
            <w:noWrap/>
            <w:vAlign w:val="bottom"/>
          </w:tcPr>
          <w:p w14:paraId="45772F06" w14:textId="1CB9847C" w:rsidR="00AA05B0" w:rsidRPr="00426A83" w:rsidRDefault="00AA05B0" w:rsidP="00AA05B0">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1.68 </w:t>
            </w:r>
          </w:p>
        </w:tc>
      </w:tr>
    </w:tbl>
    <w:p w14:paraId="750F6CBC" w14:textId="77777777" w:rsidR="008622CF" w:rsidRPr="00426A83" w:rsidRDefault="008622CF" w:rsidP="008622CF">
      <w:pPr>
        <w:ind w:left="-720" w:firstLine="720"/>
        <w:rPr>
          <w:color w:val="215868" w:themeColor="accent5" w:themeShade="80"/>
          <w:sz w:val="20"/>
        </w:rPr>
      </w:pPr>
    </w:p>
    <w:p w14:paraId="6BCB6919" w14:textId="77777777" w:rsidR="008622CF" w:rsidRPr="00426A83" w:rsidRDefault="008622CF" w:rsidP="008622CF">
      <w:pPr>
        <w:ind w:left="-720"/>
        <w:rPr>
          <w:color w:val="215868" w:themeColor="accent5" w:themeShade="80"/>
          <w:sz w:val="20"/>
        </w:rPr>
      </w:pPr>
    </w:p>
    <w:p w14:paraId="0E664873" w14:textId="77777777" w:rsidR="00231DFF" w:rsidRPr="00426A83" w:rsidRDefault="00231DFF">
      <w:pPr>
        <w:rPr>
          <w:rFonts w:ascii="Arial" w:hAnsi="Arial" w:cs="Arial"/>
          <w:color w:val="215868" w:themeColor="accent5" w:themeShade="80"/>
          <w:sz w:val="22"/>
          <w:szCs w:val="22"/>
        </w:rPr>
      </w:pPr>
    </w:p>
    <w:sectPr w:rsidR="00231DFF" w:rsidRPr="00426A83"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456C" w14:textId="77777777" w:rsidR="000223F1" w:rsidRDefault="000223F1" w:rsidP="007B35E2">
      <w:r>
        <w:separator/>
      </w:r>
    </w:p>
  </w:endnote>
  <w:endnote w:type="continuationSeparator" w:id="0">
    <w:p w14:paraId="41AF7EFA" w14:textId="77777777" w:rsidR="000223F1" w:rsidRDefault="000223F1"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BC11" w14:textId="77777777" w:rsidR="000223F1" w:rsidRDefault="000223F1" w:rsidP="007B35E2">
      <w:r>
        <w:separator/>
      </w:r>
    </w:p>
  </w:footnote>
  <w:footnote w:type="continuationSeparator" w:id="0">
    <w:p w14:paraId="0CFBF3E8" w14:textId="77777777" w:rsidR="000223F1" w:rsidRDefault="000223F1"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0300"/>
    <w:rsid w:val="000022A6"/>
    <w:rsid w:val="000115DF"/>
    <w:rsid w:val="0002019F"/>
    <w:rsid w:val="000210AA"/>
    <w:rsid w:val="000223F1"/>
    <w:rsid w:val="000507F5"/>
    <w:rsid w:val="0008058C"/>
    <w:rsid w:val="00100300"/>
    <w:rsid w:val="00102CC5"/>
    <w:rsid w:val="0012440E"/>
    <w:rsid w:val="001758DE"/>
    <w:rsid w:val="00186CBA"/>
    <w:rsid w:val="001B26AE"/>
    <w:rsid w:val="001C2475"/>
    <w:rsid w:val="00205201"/>
    <w:rsid w:val="00231DFF"/>
    <w:rsid w:val="002449D0"/>
    <w:rsid w:val="0029217A"/>
    <w:rsid w:val="00295F71"/>
    <w:rsid w:val="002B3DCE"/>
    <w:rsid w:val="002E6F9A"/>
    <w:rsid w:val="003203A1"/>
    <w:rsid w:val="00345868"/>
    <w:rsid w:val="00426A83"/>
    <w:rsid w:val="00427A12"/>
    <w:rsid w:val="00442B47"/>
    <w:rsid w:val="00444AD0"/>
    <w:rsid w:val="004C70F5"/>
    <w:rsid w:val="004D1920"/>
    <w:rsid w:val="005170EC"/>
    <w:rsid w:val="00523932"/>
    <w:rsid w:val="005C4074"/>
    <w:rsid w:val="005D41B2"/>
    <w:rsid w:val="00613C6D"/>
    <w:rsid w:val="00620AE2"/>
    <w:rsid w:val="00645190"/>
    <w:rsid w:val="006545B7"/>
    <w:rsid w:val="00654957"/>
    <w:rsid w:val="0068152C"/>
    <w:rsid w:val="006B3062"/>
    <w:rsid w:val="006E3107"/>
    <w:rsid w:val="00762F11"/>
    <w:rsid w:val="007737FC"/>
    <w:rsid w:val="007B0F19"/>
    <w:rsid w:val="007B35E2"/>
    <w:rsid w:val="007C7859"/>
    <w:rsid w:val="007E0C3A"/>
    <w:rsid w:val="007E64E4"/>
    <w:rsid w:val="007F4AB0"/>
    <w:rsid w:val="008255CF"/>
    <w:rsid w:val="008622CF"/>
    <w:rsid w:val="00867AEC"/>
    <w:rsid w:val="008E40B6"/>
    <w:rsid w:val="009B6D56"/>
    <w:rsid w:val="009C1672"/>
    <w:rsid w:val="009D1C13"/>
    <w:rsid w:val="009E2248"/>
    <w:rsid w:val="00A0748A"/>
    <w:rsid w:val="00A139C9"/>
    <w:rsid w:val="00A15B1C"/>
    <w:rsid w:val="00A30DFB"/>
    <w:rsid w:val="00A86D10"/>
    <w:rsid w:val="00A97C1E"/>
    <w:rsid w:val="00AA05B0"/>
    <w:rsid w:val="00AC35EB"/>
    <w:rsid w:val="00AD46E0"/>
    <w:rsid w:val="00AF3E73"/>
    <w:rsid w:val="00B55A54"/>
    <w:rsid w:val="00B76DC7"/>
    <w:rsid w:val="00BB5782"/>
    <w:rsid w:val="00BB57CD"/>
    <w:rsid w:val="00BD7EDF"/>
    <w:rsid w:val="00BF1E07"/>
    <w:rsid w:val="00C07F4A"/>
    <w:rsid w:val="00C52CDB"/>
    <w:rsid w:val="00C53052"/>
    <w:rsid w:val="00CD26FF"/>
    <w:rsid w:val="00CE5A96"/>
    <w:rsid w:val="00D06E62"/>
    <w:rsid w:val="00D573AB"/>
    <w:rsid w:val="00D85926"/>
    <w:rsid w:val="00DA0B9E"/>
    <w:rsid w:val="00DC490E"/>
    <w:rsid w:val="00DE3248"/>
    <w:rsid w:val="00E11B71"/>
    <w:rsid w:val="00E232B4"/>
    <w:rsid w:val="00E53A5F"/>
    <w:rsid w:val="00E61E34"/>
    <w:rsid w:val="00E835E1"/>
    <w:rsid w:val="00EA239E"/>
    <w:rsid w:val="00EB3D23"/>
    <w:rsid w:val="00EB4CFA"/>
    <w:rsid w:val="00EB6385"/>
    <w:rsid w:val="00ED0361"/>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613C6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Heading1Char">
    <w:name w:val="Heading 1 Char"/>
    <w:basedOn w:val="DefaultParagraphFont"/>
    <w:link w:val="Heading1"/>
    <w:uiPriority w:val="9"/>
    <w:rsid w:val="00613C6D"/>
    <w:rPr>
      <w:rFonts w:ascii="Times New Roman" w:eastAsia="Times New Roman" w:hAnsi="Times New Roman" w:cs="Times New Roman"/>
      <w:b/>
      <w:bCs/>
      <w:kern w:val="36"/>
      <w:sz w:val="48"/>
      <w:szCs w:val="48"/>
    </w:rPr>
  </w:style>
  <w:style w:type="character" w:customStyle="1" w:styleId="treatment-id-accepted-bold">
    <w:name w:val="treatment-id-accepted-bold"/>
    <w:basedOn w:val="DefaultParagraphFont"/>
    <w:rsid w:val="00613C6D"/>
  </w:style>
  <w:style w:type="paragraph" w:styleId="NormalWeb">
    <w:name w:val="Normal (Web)"/>
    <w:basedOn w:val="Normal"/>
    <w:uiPriority w:val="99"/>
    <w:semiHidden/>
    <w:unhideWhenUsed/>
    <w:rsid w:val="00613C6D"/>
    <w:pPr>
      <w:spacing w:before="100" w:beforeAutospacing="1" w:after="100" w:afterAutospacing="1"/>
    </w:pPr>
    <w:rPr>
      <w:szCs w:val="24"/>
    </w:rPr>
  </w:style>
  <w:style w:type="character" w:customStyle="1" w:styleId="treatment-publicationtitle">
    <w:name w:val="treatment-publication_title"/>
    <w:basedOn w:val="DefaultParagraphFont"/>
    <w:rsid w:val="00613C6D"/>
  </w:style>
  <w:style w:type="character" w:customStyle="1" w:styleId="treatment-placeinpublication">
    <w:name w:val="treatment-place_in_publication"/>
    <w:basedOn w:val="DefaultParagraphFont"/>
    <w:rsid w:val="0061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2970">
      <w:bodyDiv w:val="1"/>
      <w:marLeft w:val="0"/>
      <w:marRight w:val="0"/>
      <w:marTop w:val="0"/>
      <w:marBottom w:val="0"/>
      <w:divBdr>
        <w:top w:val="none" w:sz="0" w:space="0" w:color="auto"/>
        <w:left w:val="none" w:sz="0" w:space="0" w:color="auto"/>
        <w:bottom w:val="none" w:sz="0" w:space="0" w:color="auto"/>
        <w:right w:val="none" w:sz="0" w:space="0" w:color="auto"/>
      </w:divBdr>
    </w:div>
    <w:div w:id="1775204277">
      <w:bodyDiv w:val="1"/>
      <w:marLeft w:val="0"/>
      <w:marRight w:val="0"/>
      <w:marTop w:val="0"/>
      <w:marBottom w:val="0"/>
      <w:divBdr>
        <w:top w:val="none" w:sz="0" w:space="0" w:color="auto"/>
        <w:left w:val="none" w:sz="0" w:space="0" w:color="auto"/>
        <w:bottom w:val="none" w:sz="0" w:space="0" w:color="auto"/>
        <w:right w:val="none" w:sz="0" w:space="0" w:color="auto"/>
      </w:divBdr>
      <w:divsChild>
        <w:div w:id="1331105373">
          <w:marLeft w:val="0"/>
          <w:marRight w:val="0"/>
          <w:marTop w:val="0"/>
          <w:marBottom w:val="0"/>
          <w:divBdr>
            <w:top w:val="none" w:sz="0" w:space="0" w:color="auto"/>
            <w:left w:val="none" w:sz="0" w:space="0" w:color="auto"/>
            <w:bottom w:val="none" w:sz="0" w:space="0" w:color="auto"/>
            <w:right w:val="none" w:sz="0" w:space="0" w:color="auto"/>
          </w:divBdr>
        </w:div>
        <w:div w:id="970785641">
          <w:marLeft w:val="0"/>
          <w:marRight w:val="0"/>
          <w:marTop w:val="0"/>
          <w:marBottom w:val="0"/>
          <w:divBdr>
            <w:top w:val="none" w:sz="0" w:space="0" w:color="auto"/>
            <w:left w:val="none" w:sz="0" w:space="0" w:color="auto"/>
            <w:bottom w:val="none" w:sz="0" w:space="0" w:color="auto"/>
            <w:right w:val="none" w:sz="0" w:space="0" w:color="auto"/>
          </w:divBdr>
          <w:divsChild>
            <w:div w:id="2863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flor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wherbaria.org/data/search.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erve.org/publications/ConsStatusAssess_RankCalculator-v2.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reserve.org/explorer/" TargetMode="External"/><Relationship Id="rId4" Type="http://schemas.openxmlformats.org/officeDocument/2006/relationships/settings" Target="settings.xml"/><Relationship Id="rId9" Type="http://schemas.openxmlformats.org/officeDocument/2006/relationships/hyperlink" Target="http://www.natureserve.org/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AAE34-497C-48B6-BC84-2656DAE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8</cp:revision>
  <dcterms:created xsi:type="dcterms:W3CDTF">2019-12-09T18:13:00Z</dcterms:created>
  <dcterms:modified xsi:type="dcterms:W3CDTF">2022-01-27T23:06:00Z</dcterms:modified>
</cp:coreProperties>
</file>