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BCDD" w14:textId="7D3A3667" w:rsidR="00100300" w:rsidRDefault="00317A7E" w:rsidP="004D1920">
      <w:pPr>
        <w:jc w:val="center"/>
        <w:rPr>
          <w:rFonts w:ascii="Arial" w:hAnsi="Arial" w:cs="Arial"/>
          <w:b/>
          <w:color w:val="000000"/>
          <w:sz w:val="22"/>
          <w:szCs w:val="22"/>
        </w:rPr>
      </w:pPr>
      <w:r>
        <w:rPr>
          <w:rFonts w:ascii="Arial" w:hAnsi="Arial" w:cs="Arial"/>
          <w:b/>
          <w:i/>
          <w:color w:val="000000"/>
          <w:sz w:val="22"/>
          <w:szCs w:val="22"/>
        </w:rPr>
        <w:t>Mitella trifida</w:t>
      </w:r>
      <w:r w:rsidR="00100300" w:rsidRPr="00BE4BF2">
        <w:rPr>
          <w:rFonts w:ascii="Arial" w:hAnsi="Arial" w:cs="Arial"/>
          <w:b/>
          <w:color w:val="000000"/>
          <w:sz w:val="22"/>
          <w:szCs w:val="22"/>
        </w:rPr>
        <w:t xml:space="preserve"> </w:t>
      </w:r>
      <w:r>
        <w:rPr>
          <w:rFonts w:ascii="Arial" w:hAnsi="Arial" w:cs="Arial"/>
          <w:b/>
          <w:color w:val="000000"/>
          <w:sz w:val="22"/>
          <w:szCs w:val="22"/>
        </w:rPr>
        <w:t>Graham</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Pr>
          <w:rFonts w:ascii="Arial" w:hAnsi="Arial" w:cs="Arial"/>
          <w:b/>
          <w:color w:val="000000"/>
          <w:sz w:val="22"/>
          <w:szCs w:val="22"/>
        </w:rPr>
        <w:t>Pacific mitrewort</w:t>
      </w:r>
    </w:p>
    <w:p w14:paraId="61572E8B" w14:textId="76064C21" w:rsidR="00100300" w:rsidRDefault="00317A7E" w:rsidP="00100300">
      <w:pPr>
        <w:jc w:val="center"/>
        <w:rPr>
          <w:rFonts w:ascii="Arial" w:hAnsi="Arial" w:cs="Arial"/>
          <w:b/>
          <w:color w:val="000000"/>
          <w:sz w:val="22"/>
          <w:szCs w:val="22"/>
        </w:rPr>
      </w:pPr>
      <w:bookmarkStart w:id="0" w:name="_Hlk26782393"/>
      <w:r>
        <w:rPr>
          <w:rFonts w:ascii="Arial" w:hAnsi="Arial" w:cs="Arial"/>
          <w:b/>
          <w:color w:val="000000"/>
          <w:sz w:val="22"/>
          <w:szCs w:val="22"/>
        </w:rPr>
        <w:t>Saxifragaceae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Saxifrage family</w:t>
      </w:r>
    </w:p>
    <w:p w14:paraId="68A1768A" w14:textId="7A09D65D" w:rsidR="009C1672" w:rsidRDefault="00317A7E" w:rsidP="009C1672">
      <w:pPr>
        <w:jc w:val="center"/>
        <w:rPr>
          <w:rFonts w:ascii="Arial" w:hAnsi="Arial" w:cs="Arial"/>
          <w:color w:val="000000"/>
          <w:sz w:val="22"/>
          <w:szCs w:val="22"/>
        </w:rPr>
      </w:pPr>
      <w:r>
        <w:rPr>
          <w:rFonts w:ascii="Arial" w:hAnsi="Arial" w:cs="Arial"/>
          <w:color w:val="000000"/>
          <w:sz w:val="22"/>
          <w:szCs w:val="22"/>
        </w:rPr>
        <w:t>Derek Antonelli, 2022</w:t>
      </w:r>
      <w:r w:rsidR="00B5588E">
        <w:rPr>
          <w:rFonts w:ascii="Arial" w:hAnsi="Arial" w:cs="Arial"/>
          <w:color w:val="000000"/>
          <w:sz w:val="22"/>
          <w:szCs w:val="22"/>
        </w:rPr>
        <w:t>-02-10</w:t>
      </w:r>
    </w:p>
    <w:p w14:paraId="6671B960" w14:textId="77777777" w:rsidR="00C873CB" w:rsidRDefault="00317A7E" w:rsidP="00100300">
      <w:pPr>
        <w:jc w:val="center"/>
        <w:rPr>
          <w:rFonts w:ascii="Arial" w:hAnsi="Arial" w:cs="Arial"/>
          <w:color w:val="000000"/>
          <w:sz w:val="22"/>
          <w:szCs w:val="22"/>
        </w:rPr>
      </w:pPr>
      <w:r>
        <w:rPr>
          <w:rFonts w:ascii="Arial" w:hAnsi="Arial" w:cs="Arial"/>
          <w:color w:val="000000"/>
          <w:sz w:val="22"/>
          <w:szCs w:val="22"/>
        </w:rPr>
        <w:t>North Idaho</w:t>
      </w:r>
      <w:r w:rsidR="00D573AB">
        <w:rPr>
          <w:rFonts w:ascii="Arial" w:hAnsi="Arial" w:cs="Arial"/>
          <w:color w:val="000000"/>
          <w:sz w:val="22"/>
          <w:szCs w:val="22"/>
        </w:rPr>
        <w:t xml:space="preserve"> Rare Plant Working Group </w:t>
      </w:r>
    </w:p>
    <w:p w14:paraId="154D897E" w14:textId="33E18100" w:rsidR="00100300" w:rsidRDefault="00317A7E" w:rsidP="00100300">
      <w:pPr>
        <w:jc w:val="center"/>
        <w:rPr>
          <w:rFonts w:ascii="Arial" w:hAnsi="Arial" w:cs="Arial"/>
          <w:color w:val="000000"/>
          <w:sz w:val="22"/>
          <w:szCs w:val="22"/>
        </w:rPr>
      </w:pPr>
      <w:r>
        <w:rPr>
          <w:rFonts w:ascii="Arial" w:hAnsi="Arial" w:cs="Arial"/>
          <w:color w:val="000000"/>
          <w:sz w:val="22"/>
          <w:szCs w:val="22"/>
        </w:rPr>
        <w:t>recommends S2 (2021-02-10)</w:t>
      </w:r>
    </w:p>
    <w:p w14:paraId="7C6E0386" w14:textId="77777777" w:rsidR="00317A7E" w:rsidRPr="0068152C" w:rsidRDefault="00317A7E"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5E08F05B"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B5588E">
        <w:rPr>
          <w:rFonts w:ascii="Arial" w:hAnsi="Arial" w:cs="Arial"/>
          <w:color w:val="000000"/>
          <w:sz w:val="22"/>
          <w:szCs w:val="22"/>
        </w:rPr>
        <w:t>:  G5, SNR</w:t>
      </w:r>
    </w:p>
    <w:p w14:paraId="0BE24194" w14:textId="377AA3B0"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B5588E">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7D4D3AF2" w:rsidR="00100300" w:rsidRPr="00BE4BF2" w:rsidRDefault="00B5588E" w:rsidP="00100300">
      <w:pPr>
        <w:outlineLvl w:val="0"/>
        <w:rPr>
          <w:rFonts w:ascii="Arial" w:hAnsi="Arial" w:cs="Arial"/>
          <w:color w:val="000000"/>
          <w:sz w:val="22"/>
          <w:szCs w:val="22"/>
        </w:rPr>
      </w:pPr>
      <w:r>
        <w:rPr>
          <w:rFonts w:ascii="Arial" w:hAnsi="Arial" w:cs="Arial"/>
          <w:color w:val="000000"/>
          <w:sz w:val="22"/>
          <w:szCs w:val="22"/>
        </w:rPr>
        <w:t xml:space="preserve">BLM:  </w:t>
      </w:r>
      <w:r>
        <w:rPr>
          <w:rFonts w:ascii="Arial" w:hAnsi="Arial" w:cs="Arial"/>
          <w:color w:val="000000"/>
          <w:sz w:val="22"/>
          <w:szCs w:val="22"/>
        </w:rPr>
        <w:t>Not listed</w:t>
      </w:r>
    </w:p>
    <w:p w14:paraId="027C1A2E" w14:textId="7F377F6C" w:rsidR="00100300" w:rsidRPr="00BE4BF2" w:rsidRDefault="00B5588E" w:rsidP="00100300">
      <w:pPr>
        <w:rPr>
          <w:rFonts w:ascii="Arial" w:hAnsi="Arial" w:cs="Arial"/>
          <w:color w:val="000000"/>
          <w:sz w:val="22"/>
          <w:szCs w:val="22"/>
        </w:rPr>
      </w:pPr>
      <w:r>
        <w:rPr>
          <w:rFonts w:ascii="Arial" w:hAnsi="Arial" w:cs="Arial"/>
          <w:color w:val="000000"/>
          <w:sz w:val="22"/>
          <w:szCs w:val="22"/>
        </w:rPr>
        <w:t xml:space="preserve">FS Reg 1:  </w:t>
      </w:r>
      <w:r>
        <w:rPr>
          <w:rFonts w:ascii="Arial" w:hAnsi="Arial" w:cs="Arial"/>
          <w:color w:val="000000"/>
          <w:sz w:val="22"/>
          <w:szCs w:val="22"/>
        </w:rPr>
        <w:t>Not listed</w:t>
      </w:r>
    </w:p>
    <w:p w14:paraId="6E0516C6" w14:textId="64247A29"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B5588E">
        <w:rPr>
          <w:rFonts w:ascii="Arial" w:hAnsi="Arial" w:cs="Arial"/>
          <w:color w:val="000000"/>
          <w:sz w:val="22"/>
          <w:szCs w:val="22"/>
        </w:rPr>
        <w:t>Not listed</w:t>
      </w:r>
    </w:p>
    <w:p w14:paraId="5447A661" w14:textId="2AA1A659" w:rsidR="00100300" w:rsidRPr="00BE4BF2" w:rsidRDefault="00B5588E" w:rsidP="00100300">
      <w:pPr>
        <w:rPr>
          <w:rFonts w:ascii="Arial" w:hAnsi="Arial" w:cs="Arial"/>
          <w:color w:val="000000"/>
          <w:sz w:val="22"/>
          <w:szCs w:val="22"/>
        </w:rPr>
      </w:pPr>
      <w:r>
        <w:rPr>
          <w:rFonts w:ascii="Arial" w:hAnsi="Arial" w:cs="Arial"/>
          <w:color w:val="000000"/>
          <w:sz w:val="22"/>
          <w:szCs w:val="22"/>
        </w:rPr>
        <w:t xml:space="preserve">FS Reg 6: </w:t>
      </w:r>
      <w:r>
        <w:rPr>
          <w:rFonts w:ascii="Arial" w:hAnsi="Arial" w:cs="Arial"/>
          <w:color w:val="000000"/>
          <w:sz w:val="22"/>
          <w:szCs w:val="22"/>
        </w:rPr>
        <w:t>Not listed</w:t>
      </w:r>
    </w:p>
    <w:p w14:paraId="5BC6C48F" w14:textId="71D2C5AA" w:rsidR="00100300" w:rsidRPr="00BE4BF2" w:rsidRDefault="00B5588E"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r>
      <w:r>
        <w:rPr>
          <w:rFonts w:ascii="Arial" w:hAnsi="Arial" w:cs="Arial"/>
          <w:color w:val="000000"/>
          <w:sz w:val="22"/>
          <w:szCs w:val="22"/>
        </w:rPr>
        <w:t>Not listed</w:t>
      </w:r>
    </w:p>
    <w:p w14:paraId="736F7C4F" w14:textId="77777777" w:rsidR="00100300" w:rsidRPr="00BE4BF2" w:rsidRDefault="00100300" w:rsidP="00100300">
      <w:pPr>
        <w:rPr>
          <w:rFonts w:ascii="Arial" w:hAnsi="Arial" w:cs="Arial"/>
          <w:b/>
          <w:color w:val="000000"/>
          <w:sz w:val="22"/>
          <w:szCs w:val="22"/>
        </w:rPr>
      </w:pPr>
    </w:p>
    <w:p w14:paraId="1700E527" w14:textId="06184CE6" w:rsidR="00100300" w:rsidRPr="00AF55C1" w:rsidRDefault="00100300" w:rsidP="00100300">
      <w:pPr>
        <w:outlineLvl w:val="0"/>
        <w:rPr>
          <w:rFonts w:ascii="Arial" w:hAnsi="Arial" w:cs="Arial"/>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AF55C1" w:rsidRPr="00AF55C1">
        <w:rPr>
          <w:rStyle w:val="treatment-publicationtitle"/>
          <w:i/>
          <w:iCs/>
          <w:sz w:val="21"/>
          <w:szCs w:val="21"/>
          <w:shd w:val="clear" w:color="auto" w:fill="FCFCFE"/>
        </w:rPr>
        <w:t>Edinburgh New Philos. J.</w:t>
      </w:r>
      <w:r w:rsidR="00AF55C1" w:rsidRPr="00AF55C1">
        <w:rPr>
          <w:rStyle w:val="treatment-placeinpublication"/>
          <w:i/>
          <w:iCs/>
          <w:sz w:val="21"/>
          <w:szCs w:val="21"/>
          <w:shd w:val="clear" w:color="auto" w:fill="FCFCFE"/>
        </w:rPr>
        <w:t> 7: 185. 1829</w:t>
      </w:r>
    </w:p>
    <w:p w14:paraId="1863C5CA" w14:textId="77777777" w:rsidR="002E6F9A" w:rsidRPr="00AF55C1" w:rsidRDefault="002E6F9A" w:rsidP="00100300">
      <w:pPr>
        <w:outlineLvl w:val="0"/>
        <w:rPr>
          <w:rFonts w:ascii="Arial" w:hAnsi="Arial" w:cs="Arial"/>
          <w:sz w:val="22"/>
          <w:szCs w:val="22"/>
        </w:rPr>
      </w:pPr>
    </w:p>
    <w:p w14:paraId="46A787D6" w14:textId="1F1856FF"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AF55C1" w:rsidRPr="00AF55C1">
        <w:rPr>
          <w:rFonts w:ascii="Arial" w:hAnsi="Arial" w:cs="Arial"/>
          <w:i/>
          <w:color w:val="000000"/>
          <w:sz w:val="22"/>
          <w:szCs w:val="22"/>
        </w:rPr>
        <w:t>Ozomelis trifida</w:t>
      </w:r>
      <w:r w:rsidR="00AF55C1">
        <w:rPr>
          <w:rFonts w:ascii="Arial" w:hAnsi="Arial" w:cs="Arial"/>
          <w:color w:val="000000"/>
          <w:sz w:val="22"/>
          <w:szCs w:val="22"/>
        </w:rPr>
        <w:t xml:space="preserve"> – Used in Flora of Pacific Northwest</w:t>
      </w:r>
    </w:p>
    <w:p w14:paraId="2412F216" w14:textId="0137E01F" w:rsidR="002E6F9A" w:rsidRDefault="002E6F9A" w:rsidP="00100300">
      <w:pPr>
        <w:outlineLvl w:val="0"/>
        <w:rPr>
          <w:rFonts w:ascii="Arial" w:hAnsi="Arial" w:cs="Arial"/>
          <w:i/>
          <w:color w:val="000000"/>
          <w:sz w:val="22"/>
          <w:szCs w:val="22"/>
        </w:rPr>
      </w:pPr>
    </w:p>
    <w:p w14:paraId="579DC34D" w14:textId="580038E5"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AF55C1">
        <w:rPr>
          <w:rFonts w:ascii="Arial" w:hAnsi="Arial" w:cs="Arial"/>
          <w:sz w:val="22"/>
          <w:szCs w:val="22"/>
        </w:rPr>
        <w:t>None</w:t>
      </w:r>
    </w:p>
    <w:p w14:paraId="54D98051" w14:textId="77777777" w:rsidR="00E53A5F" w:rsidRPr="007E0C3A" w:rsidRDefault="00E53A5F" w:rsidP="00100300">
      <w:pPr>
        <w:outlineLvl w:val="0"/>
        <w:rPr>
          <w:rFonts w:ascii="Arial" w:hAnsi="Arial" w:cs="Arial"/>
          <w:i/>
          <w:sz w:val="22"/>
          <w:szCs w:val="22"/>
        </w:rPr>
      </w:pPr>
    </w:p>
    <w:p w14:paraId="05DE0B90" w14:textId="1259FE64"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5BEC84BA"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AF55C1">
        <w:rPr>
          <w:rFonts w:ascii="Arial" w:hAnsi="Arial" w:cs="Arial"/>
          <w:color w:val="000000"/>
          <w:sz w:val="22"/>
          <w:szCs w:val="22"/>
        </w:rPr>
        <w:t>Flora of North America, Flora of the Pacific Northwest</w:t>
      </w:r>
    </w:p>
    <w:p w14:paraId="3C731734" w14:textId="77777777" w:rsidR="00231DFF" w:rsidRPr="00ED0361" w:rsidRDefault="00231DFF" w:rsidP="00100300">
      <w:pPr>
        <w:outlineLvl w:val="0"/>
        <w:rPr>
          <w:rFonts w:ascii="Arial" w:hAnsi="Arial" w:cs="Arial"/>
          <w:color w:val="000000"/>
          <w:sz w:val="22"/>
          <w:szCs w:val="22"/>
        </w:rPr>
      </w:pPr>
    </w:p>
    <w:p w14:paraId="18922388" w14:textId="2FA6DA71" w:rsidR="00100300" w:rsidRDefault="002E6F9A" w:rsidP="00AF55C1">
      <w:pPr>
        <w:outlineLvl w:val="0"/>
        <w:rPr>
          <w:color w:val="4B3321"/>
          <w:sz w:val="27"/>
          <w:szCs w:val="27"/>
          <w:shd w:val="clear" w:color="auto" w:fill="FCFCFE"/>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AF55C1">
        <w:rPr>
          <w:b/>
          <w:bCs/>
          <w:color w:val="4B3321"/>
          <w:sz w:val="27"/>
          <w:szCs w:val="27"/>
          <w:shd w:val="clear" w:color="auto" w:fill="FCFCFE"/>
        </w:rPr>
        <w:t>Plants </w:t>
      </w:r>
      <w:r w:rsidR="00AF55C1">
        <w:rPr>
          <w:color w:val="4B3321"/>
          <w:sz w:val="27"/>
          <w:szCs w:val="27"/>
          <w:shd w:val="clear" w:color="auto" w:fill="FCFCFE"/>
        </w:rPr>
        <w:t>not stoloniferous. </w:t>
      </w:r>
      <w:r w:rsidR="00AF55C1">
        <w:rPr>
          <w:b/>
          <w:bCs/>
          <w:color w:val="4B3321"/>
          <w:sz w:val="27"/>
          <w:szCs w:val="27"/>
          <w:shd w:val="clear" w:color="auto" w:fill="FCFCFE"/>
        </w:rPr>
        <w:t>Flowering</w:t>
      </w:r>
      <w:r w:rsidR="00AF55C1">
        <w:rPr>
          <w:color w:val="4B3321"/>
          <w:sz w:val="27"/>
          <w:szCs w:val="27"/>
          <w:shd w:val="clear" w:color="auto" w:fill="FCFCFE"/>
        </w:rPr>
        <w:t> stems 12–45 cm. </w:t>
      </w:r>
      <w:r w:rsidR="00AF55C1">
        <w:rPr>
          <w:b/>
          <w:bCs/>
          <w:color w:val="4B3321"/>
          <w:sz w:val="27"/>
          <w:szCs w:val="27"/>
          <w:shd w:val="clear" w:color="auto" w:fill="FCFCFE"/>
        </w:rPr>
        <w:t>Leaves</w:t>
      </w:r>
      <w:r w:rsidR="00AF55C1">
        <w:rPr>
          <w:color w:val="4B3321"/>
          <w:sz w:val="27"/>
          <w:szCs w:val="27"/>
          <w:shd w:val="clear" w:color="auto" w:fill="FCFCFE"/>
        </w:rPr>
        <w:t>: petiole 2.5–10 cm, subglabrous or short stipitate-glandular and long stipitate-glandular, longer hairs retrorse, white, tan, or brown; blade cordate, cordate-ovate, or reniform, usually shorter than or sometimes ± as long as wide, 1.2–6 × 2–8 cm, margins shallowly 5- or 7-lobed, crenate, uniformly ciliate, apex of terminal lobe rounded to obtuse, surfaces short stipitate-glandular and sparsely long stipitate-glandular; cauline leaves absent. </w:t>
      </w:r>
      <w:r w:rsidR="00AF55C1">
        <w:rPr>
          <w:b/>
          <w:bCs/>
          <w:color w:val="4B3321"/>
          <w:sz w:val="27"/>
          <w:szCs w:val="27"/>
          <w:shd w:val="clear" w:color="auto" w:fill="FCFCFE"/>
        </w:rPr>
        <w:t>Inflorescences</w:t>
      </w:r>
      <w:r w:rsidR="00AF55C1">
        <w:rPr>
          <w:color w:val="4B3321"/>
          <w:sz w:val="27"/>
          <w:szCs w:val="27"/>
          <w:shd w:val="clear" w:color="auto" w:fill="FCFCFE"/>
        </w:rPr>
        <w:t> 1–3, closely 4–20-flowered, 1 flower per node, weakly secund or not secund, 12–45 cm, short stipitate-glandular and, sometimes, sparsely long stipitate-glandular proximally and distally. </w:t>
      </w:r>
      <w:r w:rsidR="00AF55C1">
        <w:rPr>
          <w:b/>
          <w:bCs/>
          <w:color w:val="4B3321"/>
          <w:sz w:val="27"/>
          <w:szCs w:val="27"/>
          <w:shd w:val="clear" w:color="auto" w:fill="FCFCFE"/>
        </w:rPr>
        <w:t>Pedicels</w:t>
      </w:r>
      <w:r w:rsidR="00AF55C1">
        <w:rPr>
          <w:color w:val="4B3321"/>
          <w:sz w:val="27"/>
          <w:szCs w:val="27"/>
          <w:shd w:val="clear" w:color="auto" w:fill="FCFCFE"/>
        </w:rPr>
        <w:t> 0.3–1.5 mm, short stipitate-glandular. </w:t>
      </w:r>
      <w:r w:rsidR="00AF55C1">
        <w:rPr>
          <w:b/>
          <w:bCs/>
          <w:color w:val="4B3321"/>
          <w:sz w:val="27"/>
          <w:szCs w:val="27"/>
          <w:shd w:val="clear" w:color="auto" w:fill="FCFCFE"/>
        </w:rPr>
        <w:t>Flowers</w:t>
      </w:r>
      <w:r w:rsidR="00AF55C1">
        <w:rPr>
          <w:color w:val="4B3321"/>
          <w:sz w:val="27"/>
          <w:szCs w:val="27"/>
          <w:shd w:val="clear" w:color="auto" w:fill="FCFCFE"/>
        </w:rPr>
        <w:t>: hypanthium campanulate, 1–1.5 × 1.5–2.5(–3) mm; sepals erect or spreading, whitish or purple tinged, oblong to triangular-ovate, 0.8–1.5 × 1–1.3 mm; petals white, sometimes pink or purple tinged, 3-lobed or, sometimes, unlobed, 1–3.5 mm, lobes lanceolate, lateral lobes ascending; stamens 5, opposite sepals; filaments white, 0.1–0.2 mm; anthers 0.1–0.2 × 0.1–0.2 mm; ovary ca. 1/2 inferior; styles divergent, flattened, 0.1–0.2 mm; stigmas unlobed. </w:t>
      </w:r>
      <w:r w:rsidR="00AF55C1">
        <w:rPr>
          <w:b/>
          <w:bCs/>
          <w:color w:val="4B3321"/>
          <w:sz w:val="27"/>
          <w:szCs w:val="27"/>
          <w:shd w:val="clear" w:color="auto" w:fill="FCFCFE"/>
        </w:rPr>
        <w:t>Seeds</w:t>
      </w:r>
      <w:r w:rsidR="00AF55C1">
        <w:rPr>
          <w:color w:val="4B3321"/>
          <w:sz w:val="27"/>
          <w:szCs w:val="27"/>
          <w:shd w:val="clear" w:color="auto" w:fill="FCFCFE"/>
        </w:rPr>
        <w:t> dark reddish brown, 0.7–1 mm, pitted. </w:t>
      </w:r>
      <w:r w:rsidR="00AF55C1">
        <w:rPr>
          <w:b/>
          <w:bCs/>
          <w:color w:val="4B3321"/>
          <w:sz w:val="27"/>
          <w:szCs w:val="27"/>
          <w:shd w:val="clear" w:color="auto" w:fill="FCFCFE"/>
        </w:rPr>
        <w:t>2n</w:t>
      </w:r>
      <w:r w:rsidR="00AF55C1">
        <w:rPr>
          <w:color w:val="4B3321"/>
          <w:sz w:val="27"/>
          <w:szCs w:val="27"/>
          <w:shd w:val="clear" w:color="auto" w:fill="FCFCFE"/>
        </w:rPr>
        <w:t> = 14.</w:t>
      </w:r>
    </w:p>
    <w:p w14:paraId="2F16EE14" w14:textId="77777777" w:rsidR="00AF55C1" w:rsidRPr="00BE4BF2" w:rsidRDefault="00AF55C1" w:rsidP="00AF55C1">
      <w:pPr>
        <w:outlineLvl w:val="0"/>
        <w:rPr>
          <w:rFonts w:ascii="Arial" w:hAnsi="Arial" w:cs="Arial"/>
          <w:color w:val="000000"/>
          <w:sz w:val="22"/>
          <w:szCs w:val="22"/>
        </w:rPr>
      </w:pPr>
    </w:p>
    <w:p w14:paraId="3969DB3E" w14:textId="0FFFD245"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 growth form (forb); </w:t>
      </w:r>
      <w:r w:rsidR="00AF55C1">
        <w:rPr>
          <w:color w:val="4B3321"/>
          <w:sz w:val="27"/>
          <w:szCs w:val="27"/>
          <w:shd w:val="clear" w:color="auto" w:fill="FCFCFE"/>
        </w:rPr>
        <w:t>Flowering May–Jul.</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63E90094" w14:textId="4D1A6218" w:rsidR="00100300" w:rsidRDefault="00100300" w:rsidP="00AF55C1">
      <w:pPr>
        <w:outlineLvl w:val="0"/>
        <w:rPr>
          <w:rFonts w:ascii="Arial" w:hAnsi="Arial" w:cs="Arial"/>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AF55C1">
        <w:rPr>
          <w:rFonts w:ascii="Arial" w:hAnsi="Arial" w:cs="Arial"/>
          <w:color w:val="000000"/>
          <w:sz w:val="22"/>
          <w:szCs w:val="22"/>
        </w:rPr>
        <w:t>Mitella stauropetala</w:t>
      </w:r>
    </w:p>
    <w:p w14:paraId="52EC44DB" w14:textId="77777777" w:rsidR="00AF55C1" w:rsidRPr="00BE4BF2" w:rsidRDefault="00AF55C1" w:rsidP="00AF55C1">
      <w:pPr>
        <w:outlineLvl w:val="0"/>
        <w:rPr>
          <w:rFonts w:ascii="Arial" w:hAnsi="Arial" w:cs="Arial"/>
          <w:color w:val="000000"/>
          <w:sz w:val="22"/>
          <w:szCs w:val="22"/>
        </w:rPr>
      </w:pPr>
    </w:p>
    <w:p w14:paraId="7CC826D9" w14:textId="1DA5244C"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AF55C1">
        <w:rPr>
          <w:color w:val="4B3321"/>
          <w:sz w:val="27"/>
          <w:szCs w:val="27"/>
          <w:shd w:val="clear" w:color="auto" w:fill="FCFCFE"/>
        </w:rPr>
        <w:t>Deep forest, moist wooded and open slopes</w:t>
      </w:r>
      <w:r w:rsidR="00AF55C1">
        <w:rPr>
          <w:color w:val="4B3321"/>
          <w:sz w:val="27"/>
          <w:szCs w:val="27"/>
        </w:rPr>
        <w:br/>
      </w:r>
      <w:r w:rsidR="00AF55C1">
        <w:rPr>
          <w:color w:val="4B3321"/>
          <w:sz w:val="27"/>
          <w:szCs w:val="27"/>
          <w:shd w:val="clear" w:color="auto" w:fill="FCFCFE"/>
        </w:rPr>
        <w:t>Elevation: 300-2000 m</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lastRenderedPageBreak/>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6C69DBB8" w14:textId="636E3A98" w:rsidR="00100300" w:rsidRDefault="00100300" w:rsidP="00AF55C1">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p>
    <w:p w14:paraId="16CAC1E5" w14:textId="77777777" w:rsidR="00AF55C1" w:rsidRPr="00BE4BF2" w:rsidRDefault="00AF55C1" w:rsidP="00AF55C1">
      <w:pPr>
        <w:outlineLvl w:val="0"/>
        <w:rPr>
          <w:rFonts w:ascii="Arial" w:hAnsi="Arial" w:cs="Arial"/>
          <w:color w:val="000000"/>
          <w:sz w:val="22"/>
          <w:szCs w:val="22"/>
        </w:rPr>
      </w:pPr>
    </w:p>
    <w:p w14:paraId="341F20D9" w14:textId="77777777" w:rsidR="00100300" w:rsidRDefault="00100300" w:rsidP="00100300">
      <w:pPr>
        <w:rPr>
          <w:rFonts w:ascii="Arial" w:hAnsi="Arial" w:cs="Arial"/>
          <w:color w:val="000000"/>
          <w:sz w:val="22"/>
          <w:szCs w:val="22"/>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7B7D3E83" w14:textId="41A44006" w:rsidR="00AF55C1" w:rsidRPr="00ED0361" w:rsidRDefault="00AF55C1" w:rsidP="00100300">
      <w:pPr>
        <w:rPr>
          <w:rFonts w:ascii="Arial" w:hAnsi="Arial" w:cs="Arial"/>
          <w:color w:val="000000"/>
          <w:sz w:val="22"/>
          <w:szCs w:val="22"/>
          <w:u w:val="single"/>
        </w:rPr>
      </w:pPr>
      <w:bookmarkStart w:id="1" w:name="_GoBack"/>
      <w:r>
        <w:rPr>
          <w:noProof/>
        </w:rPr>
        <w:drawing>
          <wp:inline distT="0" distB="0" distL="0" distR="0" wp14:anchorId="553902F1" wp14:editId="6CF77B27">
            <wp:extent cx="5399812" cy="448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3522" cy="4522590"/>
                    </a:xfrm>
                    <a:prstGeom prst="rect">
                      <a:avLst/>
                    </a:prstGeom>
                  </pic:spPr>
                </pic:pic>
              </a:graphicData>
            </a:graphic>
          </wp:inline>
        </w:drawing>
      </w:r>
      <w:bookmarkEnd w:id="1"/>
    </w:p>
    <w:p w14:paraId="293BFA2D" w14:textId="6CAFAE84" w:rsidR="00100300" w:rsidRDefault="00100300" w:rsidP="00100300">
      <w:pPr>
        <w:rPr>
          <w:rFonts w:ascii="Arial" w:hAnsi="Arial" w:cs="Arial"/>
          <w:color w:val="000000"/>
          <w:sz w:val="22"/>
          <w:szCs w:val="22"/>
        </w:rPr>
      </w:pPr>
    </w:p>
    <w:p w14:paraId="2AC6F7F0" w14:textId="7D2FD9D7"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p>
    <w:p w14:paraId="25CC2C97" w14:textId="77777777" w:rsidR="00E232B4" w:rsidRDefault="00E232B4" w:rsidP="00100300">
      <w:pPr>
        <w:rPr>
          <w:rFonts w:ascii="Arial" w:hAnsi="Arial" w:cs="Arial"/>
          <w:color w:val="000000"/>
          <w:sz w:val="22"/>
          <w:szCs w:val="22"/>
        </w:rPr>
      </w:pPr>
    </w:p>
    <w:p w14:paraId="7CF965EA" w14:textId="294F940F"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8452D2">
        <w:rPr>
          <w:rFonts w:ascii="Arial" w:hAnsi="Arial" w:cs="Arial"/>
          <w:color w:val="000000"/>
          <w:sz w:val="22"/>
          <w:szCs w:val="22"/>
        </w:rPr>
        <w:t>Sparse</w:t>
      </w:r>
    </w:p>
    <w:p w14:paraId="55DE7EF9" w14:textId="53B9FA56" w:rsidR="002B3DCE" w:rsidRDefault="002B3DCE" w:rsidP="00100300">
      <w:pPr>
        <w:rPr>
          <w:rFonts w:ascii="Arial" w:hAnsi="Arial" w:cs="Arial"/>
          <w:color w:val="000000"/>
          <w:sz w:val="22"/>
          <w:szCs w:val="22"/>
        </w:rPr>
      </w:pPr>
    </w:p>
    <w:p w14:paraId="20C593F4" w14:textId="759105EA"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8452D2">
        <w:rPr>
          <w:rFonts w:ascii="Arial" w:hAnsi="Arial" w:cs="Arial"/>
          <w:color w:val="000000"/>
          <w:sz w:val="22"/>
          <w:szCs w:val="22"/>
        </w:rPr>
        <w:t>About 18,000 sq km</w:t>
      </w:r>
      <w:r>
        <w:rPr>
          <w:rFonts w:ascii="Arial" w:hAnsi="Arial" w:cs="Arial"/>
          <w:color w:val="000000"/>
          <w:sz w:val="22"/>
          <w:szCs w:val="22"/>
        </w:rPr>
        <w:t xml:space="preserve"> </w:t>
      </w:r>
      <w:r w:rsidRPr="008452D2">
        <w:rPr>
          <w:rFonts w:ascii="Arial" w:hAnsi="Arial" w:cs="Arial"/>
          <w:b/>
          <w:color w:val="000000"/>
          <w:sz w:val="22"/>
          <w:szCs w:val="22"/>
        </w:rPr>
        <w:t>(</w:t>
      </w:r>
      <w:r w:rsidR="008452D2" w:rsidRPr="008452D2">
        <w:rPr>
          <w:rFonts w:ascii="Arial" w:hAnsi="Arial" w:cs="Arial"/>
          <w:b/>
          <w:color w:val="000000"/>
          <w:sz w:val="22"/>
          <w:szCs w:val="22"/>
        </w:rPr>
        <w:t>E</w:t>
      </w:r>
      <w:r w:rsidRPr="008452D2">
        <w:rPr>
          <w:rFonts w:ascii="Arial" w:hAnsi="Arial" w:cs="Arial"/>
          <w:b/>
          <w:color w:val="000000"/>
          <w:sz w:val="22"/>
          <w:szCs w:val="22"/>
        </w:rPr>
        <w:t>).</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2C3A611C"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8452D2">
        <w:rPr>
          <w:rFonts w:ascii="Arial" w:hAnsi="Arial" w:cs="Arial"/>
          <w:color w:val="000000"/>
          <w:sz w:val="22"/>
          <w:szCs w:val="22"/>
        </w:rPr>
        <w:t>8 4-km</w:t>
      </w:r>
      <w:r w:rsidR="008452D2" w:rsidRPr="008452D2">
        <w:rPr>
          <w:rFonts w:ascii="Arial" w:hAnsi="Arial" w:cs="Arial"/>
          <w:color w:val="000000"/>
          <w:sz w:val="22"/>
          <w:szCs w:val="22"/>
          <w:vertAlign w:val="superscript"/>
        </w:rPr>
        <w:t>2</w:t>
      </w:r>
      <w:r w:rsidR="008452D2">
        <w:rPr>
          <w:rFonts w:ascii="Arial" w:hAnsi="Arial" w:cs="Arial"/>
          <w:color w:val="000000"/>
          <w:sz w:val="22"/>
          <w:szCs w:val="22"/>
        </w:rPr>
        <w:t xml:space="preserve"> grid cells </w:t>
      </w:r>
      <w:r w:rsidR="008452D2" w:rsidRPr="008452D2">
        <w:rPr>
          <w:rFonts w:ascii="Arial" w:hAnsi="Arial" w:cs="Arial"/>
          <w:b/>
          <w:color w:val="000000"/>
          <w:sz w:val="22"/>
          <w:szCs w:val="22"/>
        </w:rPr>
        <w:t>(D)</w:t>
      </w:r>
    </w:p>
    <w:p w14:paraId="2B96D2DA" w14:textId="77777777" w:rsidR="008622CF" w:rsidRDefault="008622CF" w:rsidP="007C7859">
      <w:pPr>
        <w:rPr>
          <w:rFonts w:ascii="Arial" w:hAnsi="Arial" w:cs="Arial"/>
          <w:color w:val="000000"/>
          <w:sz w:val="22"/>
          <w:szCs w:val="22"/>
        </w:rPr>
      </w:pPr>
    </w:p>
    <w:p w14:paraId="5423C5BE" w14:textId="6BDA6FDE" w:rsidR="008622CF" w:rsidRPr="008452D2" w:rsidRDefault="008622CF" w:rsidP="007C7859">
      <w:pPr>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8452D2">
        <w:rPr>
          <w:rFonts w:ascii="Arial" w:hAnsi="Arial" w:cs="Arial"/>
          <w:i/>
          <w:color w:val="000000"/>
          <w:sz w:val="22"/>
          <w:szCs w:val="22"/>
        </w:rPr>
        <w:t xml:space="preserve">  </w:t>
      </w:r>
      <w:r w:rsidR="008452D2">
        <w:rPr>
          <w:rFonts w:ascii="Arial" w:hAnsi="Arial" w:cs="Arial"/>
          <w:color w:val="000000"/>
          <w:sz w:val="22"/>
          <w:szCs w:val="22"/>
        </w:rPr>
        <w:t>Bonner, Boundary, Caribou, Idaho</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286EA57A" w14:textId="47720875" w:rsidR="00BD7EDF" w:rsidRDefault="002E6F9A" w:rsidP="008452D2">
      <w:pPr>
        <w:rPr>
          <w:rFonts w:ascii="Arial" w:hAnsi="Arial" w:cs="Arial"/>
          <w:color w:val="000000"/>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p>
    <w:p w14:paraId="7CBB5C19" w14:textId="3BA4B46B" w:rsidR="008452D2" w:rsidRDefault="008452D2" w:rsidP="008452D2">
      <w:pPr>
        <w:rPr>
          <w:rFonts w:ascii="Arial" w:hAnsi="Arial" w:cs="Arial"/>
          <w:color w:val="000000"/>
          <w:sz w:val="22"/>
          <w:szCs w:val="22"/>
        </w:rPr>
      </w:pPr>
      <w:r>
        <w:rPr>
          <w:noProof/>
        </w:rPr>
        <w:lastRenderedPageBreak/>
        <w:drawing>
          <wp:inline distT="0" distB="0" distL="0" distR="0" wp14:anchorId="38AA4DD4" wp14:editId="1D3B2F57">
            <wp:extent cx="5943600" cy="393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34460"/>
                    </a:xfrm>
                    <a:prstGeom prst="rect">
                      <a:avLst/>
                    </a:prstGeom>
                  </pic:spPr>
                </pic:pic>
              </a:graphicData>
            </a:graphic>
          </wp:inline>
        </w:drawing>
      </w:r>
    </w:p>
    <w:p w14:paraId="3AC924FE" w14:textId="77777777" w:rsidR="008452D2" w:rsidRPr="007C7859" w:rsidRDefault="008452D2" w:rsidP="008452D2">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104E48C6" w:rsidR="006545B7" w:rsidRPr="008452D2" w:rsidRDefault="006545B7" w:rsidP="007C7859">
      <w:pPr>
        <w:rPr>
          <w:rFonts w:ascii="Arial" w:hAnsi="Arial" w:cs="Arial"/>
          <w:color w:val="000000"/>
          <w:sz w:val="22"/>
          <w:szCs w:val="22"/>
        </w:rPr>
      </w:pPr>
      <w:r>
        <w:rPr>
          <w:rFonts w:ascii="Arial" w:hAnsi="Arial" w:cs="Arial"/>
          <w:i/>
          <w:color w:val="000000"/>
          <w:sz w:val="22"/>
          <w:szCs w:val="22"/>
        </w:rPr>
        <w:t>Databases/Herbaria consulted (and query date):</w:t>
      </w:r>
      <w:r w:rsidR="008452D2">
        <w:rPr>
          <w:rFonts w:ascii="Arial" w:hAnsi="Arial" w:cs="Arial"/>
          <w:color w:val="000000"/>
          <w:sz w:val="22"/>
          <w:szCs w:val="22"/>
        </w:rPr>
        <w:t xml:space="preserve">  CPNWH (Feb 2022), NatureServe (Feb 2022), PLANTS (Feb 2021), BONAP (Feb 2021)</w:t>
      </w:r>
    </w:p>
    <w:p w14:paraId="5AAEB026" w14:textId="7AA88C33" w:rsidR="00A86D10" w:rsidRDefault="00A86D10" w:rsidP="007C7859">
      <w:pPr>
        <w:rPr>
          <w:rFonts w:ascii="Arial" w:hAnsi="Arial" w:cs="Arial"/>
          <w:i/>
          <w:color w:val="000000"/>
          <w:sz w:val="22"/>
          <w:szCs w:val="22"/>
        </w:rPr>
      </w:pPr>
    </w:p>
    <w:p w14:paraId="2F177E09" w14:textId="73147C27"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4F9497C4"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C873CB">
        <w:rPr>
          <w:rFonts w:ascii="Arial" w:hAnsi="Arial" w:cs="Arial"/>
          <w:color w:val="000000"/>
          <w:sz w:val="22"/>
          <w:szCs w:val="22"/>
        </w:rPr>
        <w:t xml:space="preserve">8 locations </w:t>
      </w:r>
      <w:r w:rsidR="00C873CB" w:rsidRPr="00C873CB">
        <w:rPr>
          <w:rFonts w:ascii="Arial" w:hAnsi="Arial" w:cs="Arial"/>
          <w:b/>
          <w:color w:val="000000"/>
          <w:sz w:val="22"/>
          <w:szCs w:val="22"/>
        </w:rPr>
        <w:t>(D)</w:t>
      </w:r>
    </w:p>
    <w:p w14:paraId="366B2BC4" w14:textId="77777777" w:rsidR="002E6F9A" w:rsidRPr="007C7859" w:rsidRDefault="002E6F9A" w:rsidP="00100300">
      <w:pPr>
        <w:outlineLvl w:val="0"/>
        <w:rPr>
          <w:rFonts w:ascii="Arial" w:hAnsi="Arial" w:cs="Arial"/>
          <w:i/>
          <w:color w:val="000000"/>
          <w:sz w:val="22"/>
          <w:szCs w:val="22"/>
        </w:rPr>
      </w:pPr>
    </w:p>
    <w:p w14:paraId="487AD605" w14:textId="6912F429"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C873CB">
        <w:rPr>
          <w:rFonts w:ascii="Arial" w:hAnsi="Arial" w:cs="Arial"/>
          <w:color w:val="000000"/>
          <w:sz w:val="22"/>
          <w:szCs w:val="22"/>
        </w:rPr>
        <w:t xml:space="preserve">Unknown </w:t>
      </w:r>
      <w:r w:rsidR="00C873CB" w:rsidRPr="00C873CB">
        <w:rPr>
          <w:rFonts w:ascii="Arial" w:hAnsi="Arial" w:cs="Arial"/>
          <w:b/>
          <w:color w:val="000000"/>
          <w:sz w:val="22"/>
          <w:szCs w:val="22"/>
        </w:rPr>
        <w:t>(U)</w:t>
      </w:r>
    </w:p>
    <w:p w14:paraId="2B715329" w14:textId="77777777" w:rsidR="002E6F9A" w:rsidRPr="007C7859" w:rsidRDefault="002E6F9A" w:rsidP="00100300">
      <w:pPr>
        <w:outlineLvl w:val="0"/>
        <w:rPr>
          <w:rFonts w:ascii="Arial" w:hAnsi="Arial" w:cs="Arial"/>
          <w:i/>
          <w:color w:val="000000"/>
          <w:sz w:val="22"/>
          <w:szCs w:val="22"/>
        </w:rPr>
      </w:pPr>
    </w:p>
    <w:p w14:paraId="35902177" w14:textId="17624BC3"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C873CB">
        <w:rPr>
          <w:rFonts w:ascii="Arial" w:hAnsi="Arial" w:cs="Arial"/>
          <w:color w:val="000000"/>
          <w:sz w:val="22"/>
          <w:szCs w:val="22"/>
        </w:rPr>
        <w:t xml:space="preserve">0 to 8 </w:t>
      </w:r>
      <w:r w:rsidR="00C873CB" w:rsidRPr="00C873CB">
        <w:rPr>
          <w:rFonts w:ascii="Arial" w:hAnsi="Arial" w:cs="Arial"/>
          <w:b/>
          <w:color w:val="000000"/>
          <w:sz w:val="22"/>
          <w:szCs w:val="22"/>
        </w:rPr>
        <w:t>(AC)</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195CC0C2"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C873CB">
        <w:rPr>
          <w:rFonts w:ascii="Arial" w:hAnsi="Arial" w:cs="Arial"/>
          <w:color w:val="000000"/>
          <w:sz w:val="22"/>
          <w:szCs w:val="22"/>
        </w:rPr>
        <w:t>Unknown</w:t>
      </w:r>
    </w:p>
    <w:p w14:paraId="6738B9E0" w14:textId="77777777" w:rsidR="00FD7B0D" w:rsidRPr="00ED0361" w:rsidRDefault="00FD7B0D" w:rsidP="007C7859">
      <w:pPr>
        <w:outlineLvl w:val="0"/>
        <w:rPr>
          <w:rFonts w:ascii="Arial" w:hAnsi="Arial" w:cs="Arial"/>
          <w:color w:val="000000"/>
          <w:sz w:val="22"/>
          <w:szCs w:val="22"/>
        </w:rPr>
      </w:pPr>
    </w:p>
    <w:p w14:paraId="41B0F438" w14:textId="54651079" w:rsidR="007C7859" w:rsidRPr="00C873CB" w:rsidRDefault="00FD7B0D" w:rsidP="00100300">
      <w:pPr>
        <w:outlineLvl w:val="0"/>
        <w:rPr>
          <w:rFonts w:ascii="Arial" w:hAnsi="Arial" w:cs="Arial"/>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C873CB">
        <w:rPr>
          <w:rFonts w:ascii="Arial" w:hAnsi="Arial" w:cs="Arial"/>
          <w:color w:val="000000"/>
          <w:sz w:val="22"/>
          <w:szCs w:val="22"/>
        </w:rPr>
        <w:t xml:space="preserve">  Unknown </w:t>
      </w:r>
      <w:r w:rsidR="00C873CB" w:rsidRPr="00C873CB">
        <w:rPr>
          <w:rFonts w:ascii="Arial" w:hAnsi="Arial" w:cs="Arial"/>
          <w:b/>
          <w:color w:val="000000"/>
          <w:sz w:val="22"/>
          <w:szCs w:val="22"/>
        </w:rPr>
        <w:t>(U)</w:t>
      </w:r>
    </w:p>
    <w:p w14:paraId="54989121" w14:textId="77777777" w:rsidR="00FD7B0D" w:rsidRPr="007C7859" w:rsidRDefault="00FD7B0D" w:rsidP="00100300">
      <w:pPr>
        <w:outlineLvl w:val="0"/>
        <w:rPr>
          <w:rFonts w:ascii="Arial" w:hAnsi="Arial" w:cs="Arial"/>
          <w:i/>
          <w:color w:val="000000"/>
          <w:sz w:val="22"/>
          <w:szCs w:val="22"/>
        </w:rPr>
      </w:pPr>
    </w:p>
    <w:p w14:paraId="3C95EA5A" w14:textId="2D7506F3"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Pr>
          <w:rFonts w:ascii="Arial" w:hAnsi="Arial" w:cs="Arial"/>
          <w:color w:val="000000"/>
          <w:sz w:val="22"/>
          <w:szCs w:val="22"/>
        </w:rPr>
        <w:t>(Optional; Used only if Threats unknown. A= highly, B=moderately, C=not intrinsically vulnerable.)</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lastRenderedPageBreak/>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00146404"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C873CB">
        <w:rPr>
          <w:rFonts w:ascii="Arial" w:hAnsi="Arial" w:cs="Arial"/>
          <w:color w:val="000000"/>
          <w:sz w:val="22"/>
          <w:szCs w:val="22"/>
        </w:rPr>
        <w:t>NIRPWG recommendation 02-10-2021</w:t>
      </w:r>
    </w:p>
    <w:p w14:paraId="04B55B53" w14:textId="77777777" w:rsidR="00231DFF" w:rsidRDefault="00231DFF" w:rsidP="00231DFF">
      <w:pPr>
        <w:outlineLvl w:val="0"/>
        <w:rPr>
          <w:rFonts w:ascii="Arial" w:hAnsi="Arial" w:cs="Arial"/>
          <w:color w:val="000000"/>
          <w:sz w:val="22"/>
          <w:szCs w:val="22"/>
        </w:rPr>
      </w:pPr>
    </w:p>
    <w:p w14:paraId="3C7D1FBF" w14:textId="24684203"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C873CB">
        <w:rPr>
          <w:rFonts w:ascii="Arial" w:hAnsi="Arial" w:cs="Arial"/>
          <w:color w:val="000000"/>
          <w:sz w:val="22"/>
          <w:szCs w:val="22"/>
        </w:rPr>
        <w:t>S2</w:t>
      </w:r>
    </w:p>
    <w:p w14:paraId="2737BCC1" w14:textId="77777777" w:rsidR="00231DFF" w:rsidRDefault="00231DFF" w:rsidP="00231DFF">
      <w:pPr>
        <w:outlineLvl w:val="0"/>
        <w:rPr>
          <w:rFonts w:ascii="Arial" w:hAnsi="Arial" w:cs="Arial"/>
          <w:color w:val="000000"/>
          <w:sz w:val="22"/>
          <w:szCs w:val="22"/>
        </w:rPr>
      </w:pPr>
    </w:p>
    <w:p w14:paraId="2050EDD7" w14:textId="5F87DBD8" w:rsidR="00231DFF" w:rsidRPr="00C873CB"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C873CB">
        <w:rPr>
          <w:rFonts w:ascii="Arial" w:hAnsi="Arial" w:cs="Arial"/>
          <w:color w:val="000000"/>
          <w:sz w:val="22"/>
          <w:szCs w:val="22"/>
        </w:rPr>
        <w:t xml:space="preserve">  Rare</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28E6CAFE" w14:textId="77777777" w:rsidR="00C52CDB" w:rsidRDefault="00C52CDB" w:rsidP="00100300">
      <w:pPr>
        <w:rPr>
          <w:rFonts w:ascii="Arial" w:hAnsi="Arial" w:cs="Arial"/>
          <w:color w:val="000000"/>
          <w:sz w:val="22"/>
          <w:szCs w:val="22"/>
        </w:rPr>
      </w:pPr>
    </w:p>
    <w:p w14:paraId="13184454" w14:textId="42DA1A90" w:rsidR="00231DFF" w:rsidRDefault="00100300" w:rsidP="00231DFF">
      <w:pPr>
        <w:rPr>
          <w:rFonts w:ascii="Arial" w:hAnsi="Arial" w:cs="Arial"/>
          <w:color w:val="000000"/>
          <w:sz w:val="22"/>
          <w:szCs w:val="22"/>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78E4ACB1" w14:textId="77777777" w:rsidR="008622CF" w:rsidRDefault="008622CF" w:rsidP="00231DFF">
      <w:pPr>
        <w:rPr>
          <w:rFonts w:ascii="Arial" w:hAnsi="Arial" w:cs="Arial"/>
          <w:color w:val="000000"/>
          <w:sz w:val="22"/>
          <w:szCs w:val="22"/>
        </w:rPr>
        <w:sectPr w:rsidR="008622CF" w:rsidSect="007E0C3A">
          <w:pgSz w:w="12240" w:h="15840"/>
          <w:pgMar w:top="1170" w:right="1440" w:bottom="1080" w:left="1440" w:header="720" w:footer="720" w:gutter="0"/>
          <w:cols w:space="720"/>
          <w:docGrid w:linePitch="360"/>
        </w:sectPr>
      </w:pPr>
    </w:p>
    <w:p w14:paraId="77C1EB46" w14:textId="77777777" w:rsidR="008E40B6" w:rsidRPr="00426A83" w:rsidRDefault="00231DFF" w:rsidP="00426A83">
      <w:pPr>
        <w:rPr>
          <w:color w:val="215868" w:themeColor="accent5" w:themeShade="80"/>
          <w:sz w:val="20"/>
        </w:rPr>
      </w:pPr>
      <w:r w:rsidRPr="00440FE5">
        <w:rPr>
          <w:sz w:val="20"/>
          <w:vertAlign w:val="superscript"/>
        </w:rPr>
        <w:lastRenderedPageBreak/>
        <w:t>1</w:t>
      </w:r>
      <w:r w:rsidRPr="000B78D4">
        <w:rPr>
          <w:sz w:val="20"/>
        </w:rPr>
        <w:t>”</w:t>
      </w:r>
      <w:r w:rsidRPr="00426A83">
        <w:rPr>
          <w:color w:val="215868" w:themeColor="accent5" w:themeShade="80"/>
          <w:sz w:val="20"/>
        </w:rPr>
        <w:t xml:space="preserve">Scientific Name” and “Common Name” primarily refer to the scientific and common names used in </w:t>
      </w:r>
      <w:hyperlink r:id="rId10" w:history="1">
        <w:r w:rsidRPr="00426A83">
          <w:rPr>
            <w:rStyle w:val="Hyperlink"/>
            <w:color w:val="215868" w:themeColor="accent5" w:themeShade="80"/>
            <w:sz w:val="20"/>
          </w:rPr>
          <w:t>NatureServe Explorer</w:t>
        </w:r>
      </w:hyperlink>
      <w:r w:rsidRPr="00426A83">
        <w:rPr>
          <w:color w:val="215868" w:themeColor="accent5" w:themeShade="80"/>
          <w:sz w:val="20"/>
        </w:rPr>
        <w:t>, respectively. Names not used by NatureServe may be used under some circumstances (i.e., species not yet described, FNA accepted name not updated to NatureServe yet). Synonymous scientific names should be added to the “Synonym” column if applicable. In case when the “Scientific Name” is not the NatureServe name, where applicable, the NatureServe name will be provided under “Synonym” followed by “(NatureServe name)”.</w:t>
      </w:r>
    </w:p>
    <w:p w14:paraId="656BC8B3" w14:textId="77777777" w:rsidR="008E40B6" w:rsidRPr="00426A83" w:rsidRDefault="008E40B6" w:rsidP="00426A83">
      <w:pPr>
        <w:rPr>
          <w:color w:val="215868" w:themeColor="accent5" w:themeShade="80"/>
          <w:sz w:val="20"/>
        </w:rPr>
      </w:pPr>
    </w:p>
    <w:p w14:paraId="72FF66FF" w14:textId="54B45AB8" w:rsidR="008E40B6" w:rsidRDefault="00231DFF" w:rsidP="00426A83">
      <w:pPr>
        <w:rPr>
          <w:color w:val="215868" w:themeColor="accent5" w:themeShade="80"/>
          <w:sz w:val="20"/>
        </w:rPr>
      </w:pPr>
      <w:r w:rsidRPr="00426A83">
        <w:rPr>
          <w:color w:val="215868" w:themeColor="accent5" w:themeShade="80"/>
          <w:sz w:val="20"/>
          <w:vertAlign w:val="superscript"/>
        </w:rPr>
        <w:t>2</w:t>
      </w:r>
      <w:r w:rsidRPr="00426A83">
        <w:rPr>
          <w:color w:val="215868" w:themeColor="accent5" w:themeShade="80"/>
          <w:sz w:val="20"/>
        </w:rPr>
        <w:t>”</w:t>
      </w:r>
      <w:r w:rsidR="00EB4CFA">
        <w:rPr>
          <w:color w:val="215868" w:themeColor="accent5" w:themeShade="80"/>
          <w:sz w:val="20"/>
        </w:rPr>
        <w:t xml:space="preserve">2009 </w:t>
      </w:r>
      <w:r w:rsidRPr="00426A83">
        <w:rPr>
          <w:color w:val="215868" w:themeColor="accent5" w:themeShade="80"/>
          <w:sz w:val="20"/>
        </w:rPr>
        <w:t xml:space="preserve">INPS </w:t>
      </w:r>
      <w:r w:rsidR="00EB4CFA">
        <w:rPr>
          <w:color w:val="215868" w:themeColor="accent5" w:themeShade="80"/>
          <w:sz w:val="20"/>
        </w:rPr>
        <w:t>rank</w:t>
      </w:r>
      <w:r w:rsidRPr="00426A83">
        <w:rPr>
          <w:color w:val="215868" w:themeColor="accent5" w:themeShade="80"/>
          <w:sz w:val="20"/>
        </w:rPr>
        <w:t xml:space="preserve">” </w:t>
      </w:r>
      <w:r w:rsidR="00EB4CFA">
        <w:rPr>
          <w:color w:val="215868" w:themeColor="accent5" w:themeShade="80"/>
          <w:sz w:val="20"/>
        </w:rPr>
        <w:t>is</w:t>
      </w:r>
      <w:r w:rsidR="00EF3801">
        <w:rPr>
          <w:color w:val="215868" w:themeColor="accent5" w:themeShade="80"/>
          <w:sz w:val="20"/>
        </w:rPr>
        <w:t xml:space="preserve"> designation from 2009 list, or indicate “Not listed” if the plant is a new addition.  If a plant has been ranked at an RPC since 2009, note ranking and date here.</w:t>
      </w:r>
      <w:r w:rsidR="00FD7B0D">
        <w:rPr>
          <w:color w:val="215868" w:themeColor="accent5" w:themeShade="80"/>
          <w:sz w:val="20"/>
        </w:rPr>
        <w:t xml:space="preserve">  INPS status is RARE or Review.</w:t>
      </w:r>
    </w:p>
    <w:p w14:paraId="31797FD3" w14:textId="1D29919A" w:rsidR="00EF3801" w:rsidRDefault="00EF3801" w:rsidP="00426A83">
      <w:pPr>
        <w:rPr>
          <w:color w:val="215868" w:themeColor="accent5" w:themeShade="80"/>
          <w:sz w:val="20"/>
        </w:rPr>
      </w:pPr>
    </w:p>
    <w:p w14:paraId="4B1F3B06" w14:textId="26091731" w:rsidR="00231DFF" w:rsidRPr="00FD7B0D" w:rsidRDefault="00EF3801" w:rsidP="00231DFF">
      <w:pPr>
        <w:rPr>
          <w:color w:val="215868" w:themeColor="accent5" w:themeShade="80"/>
          <w:sz w:val="20"/>
        </w:rPr>
      </w:pPr>
      <w:r>
        <w:rPr>
          <w:color w:val="215868" w:themeColor="accent5" w:themeShade="80"/>
          <w:sz w:val="20"/>
        </w:rPr>
        <w:t>Agency Statuses are available from lists on the Forum under Conservation Rankings/ Forms and Definitions</w:t>
      </w:r>
    </w:p>
    <w:p w14:paraId="345D0E8B" w14:textId="238E8E7B" w:rsidR="00EF3801" w:rsidRPr="00426A83" w:rsidRDefault="00EF3801" w:rsidP="00231DFF">
      <w:pPr>
        <w:rPr>
          <w:rFonts w:ascii="Arial" w:hAnsi="Arial" w:cs="Arial"/>
          <w:color w:val="215868" w:themeColor="accent5" w:themeShade="80"/>
          <w:sz w:val="22"/>
          <w:szCs w:val="22"/>
        </w:rPr>
      </w:pPr>
    </w:p>
    <w:p w14:paraId="08282EB9"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3</w:t>
      </w:r>
      <w:r w:rsidRPr="00426A83">
        <w:rPr>
          <w:color w:val="215868" w:themeColor="accent5" w:themeShade="80"/>
          <w:sz w:val="20"/>
        </w:rPr>
        <w:t xml:space="preserve">”NatureServe Rank” is the NatureServe rank designated in </w:t>
      </w:r>
      <w:hyperlink r:id="rId11" w:history="1">
        <w:r w:rsidRPr="00426A83">
          <w:rPr>
            <w:rStyle w:val="Hyperlink"/>
            <w:color w:val="215868" w:themeColor="accent5" w:themeShade="80"/>
            <w:sz w:val="20"/>
          </w:rPr>
          <w:t>NatureServe Explorer</w:t>
        </w:r>
      </w:hyperlink>
      <w:r w:rsidRPr="00426A83">
        <w:rPr>
          <w:color w:val="215868" w:themeColor="accent5" w:themeShade="80"/>
          <w:sz w:val="20"/>
        </w:rPr>
        <w:t xml:space="preserve"> (dark gray, not bolded), which is replaced by updated ranks (</w:t>
      </w:r>
      <w:r w:rsidRPr="00426A83">
        <w:rPr>
          <w:b/>
          <w:color w:val="215868" w:themeColor="accent5" w:themeShade="80"/>
          <w:sz w:val="20"/>
        </w:rPr>
        <w:t>black,</w:t>
      </w:r>
      <w:r w:rsidRPr="00426A83">
        <w:rPr>
          <w:color w:val="215868" w:themeColor="accent5" w:themeShade="80"/>
          <w:sz w:val="20"/>
        </w:rPr>
        <w:t xml:space="preserve"> </w:t>
      </w:r>
      <w:r w:rsidRPr="00426A83">
        <w:rPr>
          <w:b/>
          <w:color w:val="215868" w:themeColor="accent5" w:themeShade="80"/>
          <w:sz w:val="20"/>
        </w:rPr>
        <w:t>bolded</w:t>
      </w:r>
      <w:r w:rsidRPr="00426A83">
        <w:rPr>
          <w:color w:val="215868" w:themeColor="accent5" w:themeShade="80"/>
          <w:sz w:val="20"/>
        </w:rPr>
        <w:t xml:space="preserve">) as IDNHP and INPS apply the </w:t>
      </w:r>
      <w:hyperlink r:id="rId12" w:history="1">
        <w:r w:rsidRPr="00426A83">
          <w:rPr>
            <w:rStyle w:val="Hyperlink"/>
            <w:color w:val="215868" w:themeColor="accent5" w:themeShade="80"/>
            <w:sz w:val="20"/>
          </w:rPr>
          <w:t>NatureServe Rank Calculator</w:t>
        </w:r>
      </w:hyperlink>
      <w:r w:rsidRPr="00426A83">
        <w:rPr>
          <w:color w:val="215868" w:themeColor="accent5" w:themeShade="80"/>
          <w:sz w:val="20"/>
        </w:rPr>
        <w:t>. A “+”follows the G and/or T rank if the species is an Idaho endemic and has the sole rank global and/or trinomial rank authority.</w:t>
      </w:r>
    </w:p>
    <w:p w14:paraId="08952502" w14:textId="77777777" w:rsidR="00C52CDB" w:rsidRPr="00426A83" w:rsidRDefault="00C52CDB" w:rsidP="00231DFF">
      <w:pPr>
        <w:rPr>
          <w:rFonts w:ascii="Arial" w:hAnsi="Arial" w:cs="Arial"/>
          <w:color w:val="215868" w:themeColor="accent5" w:themeShade="80"/>
          <w:sz w:val="22"/>
          <w:szCs w:val="22"/>
        </w:rPr>
      </w:pPr>
    </w:p>
    <w:p w14:paraId="5CB9813C"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5</w:t>
      </w:r>
      <w:r w:rsidRPr="00426A83">
        <w:rPr>
          <w:color w:val="215868" w:themeColor="accent5" w:themeShade="80"/>
          <w:sz w:val="20"/>
        </w:rPr>
        <w:t>”Date Ranked” is the date in month/year format, followed in parentheses by the NatureServe Rank Calculator version that was used for ranking the species.</w:t>
      </w:r>
    </w:p>
    <w:p w14:paraId="539FCDE3" w14:textId="77777777" w:rsidR="00C52CDB" w:rsidRPr="00426A83" w:rsidRDefault="00C52CDB" w:rsidP="00231DFF">
      <w:pPr>
        <w:rPr>
          <w:rFonts w:ascii="Arial" w:hAnsi="Arial" w:cs="Arial"/>
          <w:color w:val="215868" w:themeColor="accent5" w:themeShade="80"/>
          <w:sz w:val="22"/>
          <w:szCs w:val="22"/>
        </w:rPr>
      </w:pPr>
    </w:p>
    <w:p w14:paraId="34AA574E" w14:textId="6EB4C9DC" w:rsidR="008E40B6" w:rsidRPr="00426A83" w:rsidRDefault="00231DFF" w:rsidP="00426A83">
      <w:pPr>
        <w:rPr>
          <w:color w:val="215868" w:themeColor="accent5" w:themeShade="80"/>
          <w:sz w:val="20"/>
        </w:rPr>
      </w:pPr>
      <w:r w:rsidRPr="00426A83">
        <w:rPr>
          <w:color w:val="215868" w:themeColor="accent5" w:themeShade="80"/>
          <w:sz w:val="20"/>
          <w:vertAlign w:val="superscript"/>
        </w:rPr>
        <w:t>6</w:t>
      </w:r>
      <w:r w:rsidRPr="00426A83">
        <w:rPr>
          <w:color w:val="215868" w:themeColor="accent5" w:themeShade="80"/>
          <w:sz w:val="20"/>
        </w:rPr>
        <w:t xml:space="preserve">”Range Extent” </w:t>
      </w:r>
      <w:r w:rsidR="00FD7B0D">
        <w:rPr>
          <w:color w:val="215868" w:themeColor="accent5" w:themeShade="80"/>
          <w:sz w:val="20"/>
        </w:rPr>
        <w:t xml:space="preserve">descriptor </w:t>
      </w:r>
      <w:r w:rsidRPr="00426A83">
        <w:rPr>
          <w:color w:val="215868" w:themeColor="accent5" w:themeShade="80"/>
          <w:sz w:val="20"/>
        </w:rPr>
        <w:t>incorporates thresholds from the NatureServe Rank Calculator and from Walt Fertig’s Rare Plant Ranking System for the Utah Native Plant Society</w:t>
      </w:r>
      <w:r w:rsidR="008622CF" w:rsidRPr="00426A83">
        <w:rPr>
          <w:color w:val="215868" w:themeColor="accent5" w:themeShade="80"/>
          <w:sz w:val="20"/>
        </w:rPr>
        <w:t xml:space="preserve"> (see table below for land area in each Idaho county)</w:t>
      </w:r>
      <w:r w:rsidR="008255CF">
        <w:rPr>
          <w:color w:val="215868" w:themeColor="accent5" w:themeShade="80"/>
          <w:sz w:val="20"/>
        </w:rPr>
        <w:t>.  One or more term may apply</w:t>
      </w:r>
      <w:r w:rsidRPr="00426A83">
        <w:rPr>
          <w:color w:val="215868" w:themeColor="accent5" w:themeShade="80"/>
          <w:sz w:val="20"/>
        </w:rPr>
        <w:t>:</w:t>
      </w:r>
    </w:p>
    <w:p w14:paraId="05E41D03" w14:textId="3C507C82"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Local Endemic = &lt;5,000 km² (ca 2,000 mi² or 2% of Idaho)</w:t>
      </w:r>
    </w:p>
    <w:p w14:paraId="1B39AF1E" w14:textId="56DFD589"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Subregional Endemic = 5,000 to 20,000 km² (ca 2,000-8,000 mi² or 2-10% of Idaho)</w:t>
      </w:r>
    </w:p>
    <w:p w14:paraId="0EFFE020" w14:textId="5A24F291"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Regional Endemic = 20,000 to 200,000 km² (ca 8,000-80,000 mi² or 10-92% of Idaho)</w:t>
      </w:r>
    </w:p>
    <w:p w14:paraId="3AEAEEDD" w14:textId="6AEC1CBF" w:rsidR="008E40B6" w:rsidRPr="000115DF" w:rsidRDefault="00231DFF" w:rsidP="000115DF">
      <w:pPr>
        <w:pStyle w:val="ListParagraph"/>
        <w:numPr>
          <w:ilvl w:val="0"/>
          <w:numId w:val="3"/>
        </w:numPr>
        <w:rPr>
          <w:color w:val="215868" w:themeColor="accent5" w:themeShade="80"/>
          <w:sz w:val="20"/>
        </w:rPr>
      </w:pPr>
      <w:r w:rsidRPr="000115DF">
        <w:rPr>
          <w:color w:val="215868" w:themeColor="accent5" w:themeShade="80"/>
          <w:sz w:val="20"/>
        </w:rPr>
        <w:t>Local, Subregional, and Regional Endemics are also designated as Core (≥50% of global range) or Edge (&lt;50% of global range) for the part of the species’ distribution in Idaho.</w:t>
      </w:r>
    </w:p>
    <w:p w14:paraId="61DA68CD"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Disjunct = Distribution in Idaho is isolated from the main, contiguous portion of a species’ range by a gap</w:t>
      </w:r>
      <w:r w:rsidR="00F361AA" w:rsidRPr="00205201">
        <w:rPr>
          <w:color w:val="215868" w:themeColor="accent5" w:themeShade="80"/>
          <w:sz w:val="20"/>
        </w:rPr>
        <w:t xml:space="preserve"> </w:t>
      </w:r>
      <w:r w:rsidRPr="00205201">
        <w:rPr>
          <w:color w:val="215868" w:themeColor="accent5" w:themeShade="80"/>
          <w:sz w:val="20"/>
        </w:rPr>
        <w:t>of more than 322 km (200 mi).</w:t>
      </w:r>
    </w:p>
    <w:p w14:paraId="12F37C7B" w14:textId="7A2507B0" w:rsidR="00231DFF"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Sparse = Distribution in Idaho is uncommon and scattered, but species otherwise has a wide range (e.g. occurs in multiple states).</w:t>
      </w:r>
    </w:p>
    <w:p w14:paraId="21FB45C4"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Peripheral = Distribution in Idaho is at the margin of the species’ main, contiguous portion in an adjacent state or province.</w:t>
      </w:r>
    </w:p>
    <w:p w14:paraId="3FB023D4"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 xml:space="preserve">Widespread = Species occurs widely across western North America (covering more than 200,000 km²) and </w:t>
      </w:r>
      <w:r w:rsidR="008622CF" w:rsidRPr="00205201">
        <w:rPr>
          <w:color w:val="215868" w:themeColor="accent5" w:themeShade="80"/>
          <w:sz w:val="20"/>
        </w:rPr>
        <w:tab/>
      </w:r>
      <w:r w:rsidRPr="00205201">
        <w:rPr>
          <w:color w:val="215868" w:themeColor="accent5" w:themeShade="80"/>
          <w:sz w:val="20"/>
        </w:rPr>
        <w:t xml:space="preserve">across Idaho. </w:t>
      </w:r>
    </w:p>
    <w:p w14:paraId="635B5B9F" w14:textId="77777777" w:rsidR="008E40B6" w:rsidRPr="00426A83" w:rsidRDefault="008E40B6" w:rsidP="00426A83">
      <w:pPr>
        <w:ind w:firstLine="720"/>
        <w:rPr>
          <w:color w:val="215868" w:themeColor="accent5" w:themeShade="80"/>
          <w:sz w:val="20"/>
        </w:rPr>
      </w:pPr>
    </w:p>
    <w:p w14:paraId="42D6DA46" w14:textId="36100D1E" w:rsidR="008E40B6" w:rsidRPr="00426A83" w:rsidRDefault="00231DFF" w:rsidP="00426A83">
      <w:pPr>
        <w:rPr>
          <w:color w:val="215868" w:themeColor="accent5" w:themeShade="80"/>
          <w:sz w:val="20"/>
        </w:rPr>
      </w:pPr>
      <w:r w:rsidRPr="00426A83">
        <w:rPr>
          <w:color w:val="215868" w:themeColor="accent5" w:themeShade="80"/>
          <w:sz w:val="20"/>
        </w:rPr>
        <w:t xml:space="preserve">Values used for estimating Range Extent, Area of Occupancy, and Number of Occurrence should at minimum be based on review of IDNHP’s </w:t>
      </w:r>
      <w:r w:rsidR="00B76DC7">
        <w:rPr>
          <w:color w:val="215868" w:themeColor="accent5" w:themeShade="80"/>
          <w:sz w:val="20"/>
        </w:rPr>
        <w:t>IFWIS</w:t>
      </w:r>
      <w:r w:rsidRPr="00426A83">
        <w:rPr>
          <w:color w:val="215868" w:themeColor="accent5" w:themeShade="80"/>
          <w:sz w:val="20"/>
        </w:rPr>
        <w:t xml:space="preserve"> Database, </w:t>
      </w:r>
      <w:hyperlink r:id="rId13" w:history="1">
        <w:r w:rsidRPr="000115DF">
          <w:rPr>
            <w:rStyle w:val="Hyperlink"/>
            <w:color w:val="215868" w:themeColor="accent5" w:themeShade="80"/>
            <w:sz w:val="20"/>
            <w:u w:val="none"/>
          </w:rPr>
          <w:t>Consortium of Pacific Northwest Herbaria</w:t>
        </w:r>
      </w:hyperlink>
      <w:r w:rsidRPr="000115DF">
        <w:rPr>
          <w:color w:val="215868" w:themeColor="accent5" w:themeShade="80"/>
        </w:rPr>
        <w:t xml:space="preserve">, </w:t>
      </w:r>
      <w:r w:rsidRPr="00426A83">
        <w:rPr>
          <w:color w:val="215868" w:themeColor="accent5" w:themeShade="80"/>
          <w:sz w:val="20"/>
        </w:rPr>
        <w:t>and personal knowledge of documented occurrences.</w:t>
      </w:r>
      <w:r w:rsidR="00A97C1E">
        <w:rPr>
          <w:color w:val="215868" w:themeColor="accent5" w:themeShade="80"/>
          <w:sz w:val="20"/>
        </w:rPr>
        <w:t xml:space="preserve">  Other on-line herbaria (Intermountain Region Herbarium Network, SEINet, etc.) may also be helpful.</w:t>
      </w:r>
    </w:p>
    <w:p w14:paraId="47807E67" w14:textId="77777777" w:rsidR="008E40B6" w:rsidRPr="00426A83" w:rsidRDefault="008E40B6" w:rsidP="00426A83">
      <w:pPr>
        <w:rPr>
          <w:color w:val="215868" w:themeColor="accent5" w:themeShade="80"/>
          <w:sz w:val="20"/>
        </w:rPr>
      </w:pPr>
    </w:p>
    <w:p w14:paraId="277E207E" w14:textId="6373F6B0" w:rsidR="008E40B6" w:rsidRPr="00426A83" w:rsidRDefault="00EF7AE1" w:rsidP="00426A83">
      <w:pPr>
        <w:rPr>
          <w:color w:val="215868" w:themeColor="accent5" w:themeShade="80"/>
          <w:sz w:val="20"/>
        </w:rPr>
      </w:pPr>
      <w:r w:rsidRPr="00426A83">
        <w:rPr>
          <w:color w:val="215868" w:themeColor="accent5" w:themeShade="80"/>
          <w:sz w:val="20"/>
          <w:vertAlign w:val="superscript"/>
        </w:rPr>
        <w:t>7</w:t>
      </w:r>
      <w:r w:rsidRPr="00426A83">
        <w:rPr>
          <w:color w:val="215868" w:themeColor="accent5" w:themeShade="80"/>
          <w:sz w:val="20"/>
        </w:rPr>
        <w:t>”Key(s)” include taxonomic key(s) species is described in. This includes Vascular Plants of the Pacific Northwest/Flora of the Pacific Northwest (</w:t>
      </w:r>
      <w:r w:rsidR="00205201">
        <w:rPr>
          <w:color w:val="215868" w:themeColor="accent5" w:themeShade="80"/>
          <w:sz w:val="20"/>
        </w:rPr>
        <w:t>F</w:t>
      </w:r>
      <w:r w:rsidRPr="00426A83">
        <w:rPr>
          <w:color w:val="215868" w:themeColor="accent5" w:themeShade="80"/>
          <w:sz w:val="20"/>
        </w:rPr>
        <w:t>PNW</w:t>
      </w:r>
      <w:r w:rsidR="00205201">
        <w:rPr>
          <w:color w:val="215868" w:themeColor="accent5" w:themeShade="80"/>
          <w:sz w:val="20"/>
        </w:rPr>
        <w:t xml:space="preserve"> or FPNW2</w:t>
      </w:r>
      <w:r w:rsidRPr="00426A83">
        <w:rPr>
          <w:color w:val="215868" w:themeColor="accent5" w:themeShade="80"/>
          <w:sz w:val="20"/>
        </w:rPr>
        <w:t xml:space="preserve">); Intermountain Flora (IMF); and </w:t>
      </w:r>
      <w:hyperlink r:id="rId14" w:history="1">
        <w:r w:rsidRPr="00426A83">
          <w:rPr>
            <w:rStyle w:val="Hyperlink"/>
            <w:color w:val="215868" w:themeColor="accent5" w:themeShade="80"/>
            <w:sz w:val="20"/>
          </w:rPr>
          <w:t>Flora of North America (FNA)</w:t>
        </w:r>
      </w:hyperlink>
      <w:r w:rsidRPr="00426A83">
        <w:rPr>
          <w:color w:val="215868" w:themeColor="accent5" w:themeShade="80"/>
          <w:sz w:val="20"/>
        </w:rPr>
        <w:t xml:space="preserve">. If the name in a key is different than the “Species Name”, the synonymous scientific name used in the key should be added below the Species Name. </w:t>
      </w:r>
    </w:p>
    <w:p w14:paraId="2CB14AE8" w14:textId="77777777" w:rsidR="00EF7AE1" w:rsidRPr="00426A83" w:rsidRDefault="00EF7AE1" w:rsidP="00231DFF">
      <w:pPr>
        <w:rPr>
          <w:color w:val="215868" w:themeColor="accent5" w:themeShade="80"/>
          <w:sz w:val="20"/>
        </w:rPr>
      </w:pPr>
    </w:p>
    <w:p w14:paraId="2893648C" w14:textId="77777777" w:rsidR="008E40B6" w:rsidRPr="00426A83" w:rsidRDefault="00231DFF" w:rsidP="00426A83">
      <w:pPr>
        <w:rPr>
          <w:color w:val="215868" w:themeColor="accent5" w:themeShade="80"/>
          <w:sz w:val="20"/>
        </w:rPr>
      </w:pPr>
      <w:r w:rsidRPr="00426A83">
        <w:rPr>
          <w:color w:val="215868" w:themeColor="accent5" w:themeShade="80"/>
          <w:sz w:val="20"/>
          <w:vertAlign w:val="superscript"/>
        </w:rPr>
        <w:t>8</w:t>
      </w:r>
      <w:r w:rsidRPr="00426A83">
        <w:rPr>
          <w:color w:val="215868" w:themeColor="accent5" w:themeShade="80"/>
          <w:sz w:val="20"/>
        </w:rPr>
        <w:t xml:space="preserve">”Number of Occurrences” are defined as the number of occurrences &gt;1 km apart, and generally only include those for which there is reasonable certainty that still occur (e.g. excluding historical). If needed, the number of occurrences can be calculated by counting the number of species locations greater than 1 km edge-to-edge. </w:t>
      </w:r>
    </w:p>
    <w:p w14:paraId="39852687" w14:textId="77777777" w:rsidR="008E40B6" w:rsidRPr="00426A83" w:rsidRDefault="008E40B6" w:rsidP="00426A83">
      <w:pPr>
        <w:rPr>
          <w:color w:val="215868" w:themeColor="accent5" w:themeShade="80"/>
          <w:sz w:val="20"/>
        </w:rPr>
      </w:pPr>
    </w:p>
    <w:p w14:paraId="4423D073" w14:textId="77777777" w:rsidR="008E40B6" w:rsidRPr="00426A83" w:rsidRDefault="008622CF" w:rsidP="00426A83">
      <w:pPr>
        <w:rPr>
          <w:color w:val="215868" w:themeColor="accent5" w:themeShade="80"/>
          <w:sz w:val="20"/>
        </w:rPr>
      </w:pPr>
      <w:r w:rsidRPr="00426A83">
        <w:rPr>
          <w:color w:val="215868" w:themeColor="accent5" w:themeShade="80"/>
          <w:sz w:val="20"/>
          <w:vertAlign w:val="superscript"/>
        </w:rPr>
        <w:t>9</w:t>
      </w:r>
      <w:r w:rsidRPr="00426A83">
        <w:rPr>
          <w:color w:val="215868" w:themeColor="accent5" w:themeShade="80"/>
          <w:sz w:val="20"/>
        </w:rPr>
        <w:t>”Counties” correspond to the Idaho counties the species is known to occur or have occurred. A list of county names, land area, and percent contribution is provided below. Questionable or historical counties should be indicated by having a “?” at the end of the county name.</w:t>
      </w:r>
    </w:p>
    <w:p w14:paraId="2D00A997" w14:textId="77777777" w:rsidR="008E40B6" w:rsidRPr="00426A83" w:rsidRDefault="008E40B6" w:rsidP="00426A83">
      <w:pPr>
        <w:rPr>
          <w:color w:val="215868" w:themeColor="accent5" w:themeShade="80"/>
          <w:sz w:val="20"/>
        </w:rPr>
      </w:pPr>
    </w:p>
    <w:p w14:paraId="0D76C938" w14:textId="39FA8A0B" w:rsidR="008E40B6" w:rsidRPr="002B3DCE" w:rsidRDefault="00231DFF" w:rsidP="00426A83">
      <w:pPr>
        <w:rPr>
          <w:color w:val="FF0000"/>
          <w:sz w:val="20"/>
        </w:rPr>
      </w:pPr>
      <w:r w:rsidRPr="00426A83">
        <w:rPr>
          <w:color w:val="215868" w:themeColor="accent5" w:themeShade="80"/>
          <w:sz w:val="20"/>
          <w:vertAlign w:val="superscript"/>
        </w:rPr>
        <w:lastRenderedPageBreak/>
        <w:t>10</w:t>
      </w:r>
      <w:r w:rsidRPr="00426A83">
        <w:rPr>
          <w:color w:val="215868" w:themeColor="accent5" w:themeShade="80"/>
          <w:sz w:val="20"/>
        </w:rPr>
        <w:t>”</w:t>
      </w:r>
      <w:r w:rsidR="008622CF" w:rsidRPr="00426A83">
        <w:rPr>
          <w:color w:val="215868" w:themeColor="accent5" w:themeShade="80"/>
          <w:sz w:val="20"/>
        </w:rPr>
        <w:t xml:space="preserve">Environmental </w:t>
      </w:r>
      <w:r w:rsidRPr="00426A83">
        <w:rPr>
          <w:color w:val="215868" w:themeColor="accent5" w:themeShade="80"/>
          <w:sz w:val="20"/>
        </w:rPr>
        <w:t xml:space="preserve">specificity” corresponds to the Very Narrow, Narrow, Moderate, and Broad categories from the NatureServe Rank Calculator, and may include some key habitat descriptors in parentheses afterwards. </w:t>
      </w:r>
      <w:r w:rsidR="006B3062">
        <w:rPr>
          <w:color w:val="215868" w:themeColor="accent5" w:themeShade="80"/>
          <w:sz w:val="20"/>
        </w:rPr>
        <w:t>This field is not used in the rank calculator unless there is no information on number of occurrences or area of occupancy.</w:t>
      </w:r>
      <w:r w:rsidR="002B3DCE">
        <w:rPr>
          <w:color w:val="215868" w:themeColor="accent5" w:themeShade="80"/>
          <w:sz w:val="20"/>
        </w:rPr>
        <w:t xml:space="preserve">    </w:t>
      </w:r>
    </w:p>
    <w:p w14:paraId="21122823" w14:textId="77777777" w:rsidR="00231DFF" w:rsidRPr="00426A83" w:rsidRDefault="00231DFF" w:rsidP="00C52CDB">
      <w:pPr>
        <w:rPr>
          <w:color w:val="215868" w:themeColor="accent5" w:themeShade="80"/>
          <w:sz w:val="20"/>
        </w:rPr>
      </w:pPr>
    </w:p>
    <w:p w14:paraId="509A826F" w14:textId="77777777" w:rsidR="008E40B6" w:rsidRPr="00426A83" w:rsidRDefault="008622CF" w:rsidP="00426A83">
      <w:pPr>
        <w:rPr>
          <w:color w:val="215868" w:themeColor="accent5" w:themeShade="80"/>
          <w:sz w:val="20"/>
        </w:rPr>
      </w:pPr>
      <w:r w:rsidRPr="00426A83">
        <w:rPr>
          <w:color w:val="215868" w:themeColor="accent5" w:themeShade="80"/>
          <w:sz w:val="20"/>
          <w:vertAlign w:val="superscript"/>
        </w:rPr>
        <w:t>11</w:t>
      </w:r>
      <w:r w:rsidR="00427A12">
        <w:rPr>
          <w:color w:val="215868" w:themeColor="accent5" w:themeShade="80"/>
          <w:sz w:val="20"/>
        </w:rPr>
        <w:t>”</w:t>
      </w:r>
      <w:r w:rsidR="00444AD0">
        <w:rPr>
          <w:color w:val="215868" w:themeColor="accent5" w:themeShade="80"/>
          <w:sz w:val="20"/>
        </w:rPr>
        <w:t>Overall Threat Rank</w:t>
      </w:r>
      <w:r w:rsidR="00427A12">
        <w:rPr>
          <w:color w:val="215868" w:themeColor="accent5" w:themeShade="80"/>
          <w:sz w:val="20"/>
        </w:rPr>
        <w:t xml:space="preserve">” is </w:t>
      </w:r>
      <w:r w:rsidRPr="00426A83">
        <w:rPr>
          <w:color w:val="215868" w:themeColor="accent5" w:themeShade="80"/>
          <w:sz w:val="20"/>
        </w:rPr>
        <w:t>the calculated threat level from the NatureS</w:t>
      </w:r>
      <w:r w:rsidR="00427A12">
        <w:rPr>
          <w:color w:val="215868" w:themeColor="accent5" w:themeShade="80"/>
          <w:sz w:val="20"/>
        </w:rPr>
        <w:t>erve calculator</w:t>
      </w:r>
      <w:r w:rsidRPr="00426A83">
        <w:rPr>
          <w:color w:val="215868" w:themeColor="accent5" w:themeShade="80"/>
          <w:sz w:val="20"/>
        </w:rPr>
        <w:t>.</w:t>
      </w:r>
    </w:p>
    <w:p w14:paraId="528AAD3F" w14:textId="77777777" w:rsidR="008622CF" w:rsidRPr="00426A83" w:rsidRDefault="008622CF" w:rsidP="00C52CDB">
      <w:pPr>
        <w:rPr>
          <w:color w:val="215868" w:themeColor="accent5" w:themeShade="80"/>
          <w:sz w:val="20"/>
        </w:rPr>
      </w:pPr>
    </w:p>
    <w:p w14:paraId="2D252A52"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12</w:t>
      </w:r>
      <w:r w:rsidRPr="00426A83">
        <w:rPr>
          <w:color w:val="215868" w:themeColor="accent5" w:themeShade="80"/>
          <w:sz w:val="20"/>
        </w:rPr>
        <w:t xml:space="preserve">” Comments” may include information needs, basis for species addition/deletion from list, and specific threat information. </w:t>
      </w:r>
    </w:p>
    <w:p w14:paraId="05D55CDE" w14:textId="77777777" w:rsidR="008E40B6" w:rsidRPr="00426A83" w:rsidRDefault="008E40B6" w:rsidP="00426A83">
      <w:pPr>
        <w:rPr>
          <w:color w:val="215868" w:themeColor="accent5" w:themeShade="80"/>
          <w:sz w:val="20"/>
        </w:rPr>
      </w:pPr>
    </w:p>
    <w:p w14:paraId="6558524A" w14:textId="45F885B1" w:rsidR="008E40B6" w:rsidRPr="00426A83" w:rsidRDefault="00C52CDB" w:rsidP="00426A83">
      <w:pPr>
        <w:rPr>
          <w:color w:val="215868" w:themeColor="accent5" w:themeShade="80"/>
          <w:sz w:val="20"/>
        </w:rPr>
      </w:pPr>
      <w:r w:rsidRPr="00426A83">
        <w:rPr>
          <w:color w:val="215868" w:themeColor="accent5" w:themeShade="80"/>
          <w:sz w:val="20"/>
          <w:vertAlign w:val="superscript"/>
        </w:rPr>
        <w:t>13”</w:t>
      </w:r>
      <w:r w:rsidRPr="00426A83">
        <w:rPr>
          <w:color w:val="215868" w:themeColor="accent5" w:themeShade="80"/>
          <w:sz w:val="20"/>
        </w:rPr>
        <w:t xml:space="preserve">Recommendation” is the recommendation to federal and state agencies based on consensus and/or new information shared at the RPC, followed after the month and year comment was made (e.g. Oct2011). Recommendations should be specific and tangible enough so they can be reasonably accomplished. If species is deleted or reviewed and not added, it </w:t>
      </w:r>
      <w:r w:rsidR="0008058C">
        <w:rPr>
          <w:color w:val="215868" w:themeColor="accent5" w:themeShade="80"/>
          <w:sz w:val="20"/>
        </w:rPr>
        <w:t>will</w:t>
      </w:r>
      <w:r w:rsidRPr="00426A83">
        <w:rPr>
          <w:color w:val="215868" w:themeColor="accent5" w:themeShade="80"/>
          <w:sz w:val="20"/>
        </w:rPr>
        <w:t xml:space="preserve"> be maintained in a separate list of “Plants Previously Considered or Listed by INPS”. This list include</w:t>
      </w:r>
      <w:r w:rsidR="0008058C">
        <w:rPr>
          <w:color w:val="215868" w:themeColor="accent5" w:themeShade="80"/>
          <w:sz w:val="20"/>
        </w:rPr>
        <w:t>s</w:t>
      </w:r>
      <w:r w:rsidRPr="00426A83">
        <w:rPr>
          <w:color w:val="215868" w:themeColor="accent5" w:themeShade="80"/>
          <w:sz w:val="20"/>
        </w:rPr>
        <w:t xml:space="preserve"> information in the table above, plus previous status (if applicable), reason for not being listed or being deleted, and date of determination.</w:t>
      </w:r>
    </w:p>
    <w:p w14:paraId="0859D015" w14:textId="77777777" w:rsidR="008E40B6" w:rsidRPr="00426A83" w:rsidRDefault="008E40B6" w:rsidP="00426A83">
      <w:pPr>
        <w:rPr>
          <w:color w:val="215868" w:themeColor="accent5" w:themeShade="80"/>
          <w:sz w:val="20"/>
        </w:rPr>
      </w:pPr>
    </w:p>
    <w:p w14:paraId="78905805" w14:textId="77777777" w:rsidR="008622CF" w:rsidRPr="00426A83" w:rsidRDefault="008622CF" w:rsidP="008622CF">
      <w:pPr>
        <w:ind w:left="-720"/>
        <w:rPr>
          <w:color w:val="215868" w:themeColor="accent5" w:themeShade="80"/>
          <w:sz w:val="20"/>
        </w:rPr>
      </w:pPr>
    </w:p>
    <w:p w14:paraId="548D9FF7" w14:textId="77777777" w:rsidR="008622CF" w:rsidRPr="00426A83" w:rsidRDefault="008622CF" w:rsidP="008622CF">
      <w:pPr>
        <w:keepNext/>
        <w:ind w:left="-720" w:firstLine="720"/>
        <w:rPr>
          <w:b/>
          <w:color w:val="215868" w:themeColor="accent5" w:themeShade="80"/>
          <w:sz w:val="20"/>
        </w:rPr>
      </w:pPr>
      <w:r w:rsidRPr="00426A83">
        <w:rPr>
          <w:b/>
          <w:color w:val="215868" w:themeColor="accent5" w:themeShade="80"/>
          <w:sz w:val="20"/>
        </w:rPr>
        <w:t>LAND AREA AND PERCENT CONTRIBUTION OF IDAHO’S COUNTIES:</w:t>
      </w:r>
    </w:p>
    <w:tbl>
      <w:tblPr>
        <w:tblW w:w="59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22"/>
        <w:gridCol w:w="882"/>
        <w:gridCol w:w="1083"/>
        <w:gridCol w:w="989"/>
        <w:gridCol w:w="882"/>
      </w:tblGrid>
      <w:tr w:rsidR="00AA05B0" w:rsidRPr="00426A83" w14:paraId="67E63A26" w14:textId="77777777" w:rsidTr="00AA05B0">
        <w:trPr>
          <w:trHeight w:val="255"/>
        </w:trPr>
        <w:tc>
          <w:tcPr>
            <w:tcW w:w="1083" w:type="dxa"/>
            <w:shd w:val="clear" w:color="auto" w:fill="auto"/>
            <w:noWrap/>
            <w:vAlign w:val="bottom"/>
            <w:hideMark/>
          </w:tcPr>
          <w:p w14:paraId="583EB327" w14:textId="77777777" w:rsidR="00AA05B0" w:rsidRPr="00426A83" w:rsidRDefault="00AA05B0"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22" w:type="dxa"/>
            <w:shd w:val="clear" w:color="auto" w:fill="auto"/>
            <w:noWrap/>
            <w:vAlign w:val="bottom"/>
            <w:hideMark/>
          </w:tcPr>
          <w:p w14:paraId="786BB2A3"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shd w:val="clear" w:color="auto" w:fill="auto"/>
            <w:noWrap/>
            <w:vAlign w:val="bottom"/>
            <w:hideMark/>
          </w:tcPr>
          <w:p w14:paraId="56B0FE64"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83" w:type="dxa"/>
            <w:shd w:val="clear" w:color="auto" w:fill="auto"/>
            <w:noWrap/>
            <w:vAlign w:val="bottom"/>
            <w:hideMark/>
          </w:tcPr>
          <w:p w14:paraId="5F1C20D0" w14:textId="77777777" w:rsidR="00AA05B0" w:rsidRPr="00426A83" w:rsidRDefault="00AA05B0"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989" w:type="dxa"/>
            <w:shd w:val="clear" w:color="auto" w:fill="auto"/>
            <w:noWrap/>
            <w:vAlign w:val="bottom"/>
            <w:hideMark/>
          </w:tcPr>
          <w:p w14:paraId="5523A746"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shd w:val="clear" w:color="auto" w:fill="auto"/>
            <w:noWrap/>
            <w:vAlign w:val="bottom"/>
            <w:hideMark/>
          </w:tcPr>
          <w:p w14:paraId="53D50EDB"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r>
      <w:tr w:rsidR="00AA05B0" w:rsidRPr="00426A83" w14:paraId="7C08392A" w14:textId="77777777" w:rsidTr="00AA05B0">
        <w:trPr>
          <w:trHeight w:val="255"/>
        </w:trPr>
        <w:tc>
          <w:tcPr>
            <w:tcW w:w="1083" w:type="dxa"/>
            <w:shd w:val="clear" w:color="auto" w:fill="auto"/>
            <w:noWrap/>
            <w:vAlign w:val="bottom"/>
            <w:hideMark/>
          </w:tcPr>
          <w:p w14:paraId="0651B028"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Ada</w:t>
            </w:r>
          </w:p>
        </w:tc>
        <w:tc>
          <w:tcPr>
            <w:tcW w:w="1022" w:type="dxa"/>
            <w:shd w:val="clear" w:color="auto" w:fill="auto"/>
            <w:noWrap/>
            <w:vAlign w:val="bottom"/>
            <w:hideMark/>
          </w:tcPr>
          <w:p w14:paraId="06DF94A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1060</w:t>
            </w:r>
          </w:p>
        </w:tc>
        <w:tc>
          <w:tcPr>
            <w:tcW w:w="882" w:type="dxa"/>
            <w:shd w:val="clear" w:color="auto" w:fill="auto"/>
            <w:noWrap/>
            <w:vAlign w:val="bottom"/>
            <w:hideMark/>
          </w:tcPr>
          <w:p w14:paraId="4A574F6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1.21 </w:t>
            </w:r>
          </w:p>
        </w:tc>
        <w:tc>
          <w:tcPr>
            <w:tcW w:w="1083" w:type="dxa"/>
            <w:shd w:val="clear" w:color="auto" w:fill="auto"/>
            <w:noWrap/>
            <w:vAlign w:val="bottom"/>
          </w:tcPr>
          <w:p w14:paraId="128E99E9" w14:textId="5A051921"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Gem</w:t>
            </w:r>
          </w:p>
        </w:tc>
        <w:tc>
          <w:tcPr>
            <w:tcW w:w="989" w:type="dxa"/>
            <w:shd w:val="clear" w:color="auto" w:fill="auto"/>
            <w:noWrap/>
            <w:vAlign w:val="bottom"/>
          </w:tcPr>
          <w:p w14:paraId="03B3318D" w14:textId="10A1DBF6"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566</w:t>
            </w:r>
          </w:p>
        </w:tc>
        <w:tc>
          <w:tcPr>
            <w:tcW w:w="882" w:type="dxa"/>
            <w:shd w:val="clear" w:color="auto" w:fill="auto"/>
            <w:noWrap/>
            <w:vAlign w:val="bottom"/>
          </w:tcPr>
          <w:p w14:paraId="0C80A0A7" w14:textId="2C801F18"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0.65 </w:t>
            </w:r>
          </w:p>
        </w:tc>
      </w:tr>
      <w:tr w:rsidR="00AA05B0" w:rsidRPr="00426A83" w14:paraId="3DCD6C5D" w14:textId="77777777" w:rsidTr="00AA05B0">
        <w:trPr>
          <w:trHeight w:val="255"/>
        </w:trPr>
        <w:tc>
          <w:tcPr>
            <w:tcW w:w="1083" w:type="dxa"/>
            <w:shd w:val="clear" w:color="auto" w:fill="auto"/>
            <w:noWrap/>
            <w:vAlign w:val="bottom"/>
            <w:hideMark/>
          </w:tcPr>
          <w:p w14:paraId="6285ECD4"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Adams</w:t>
            </w:r>
          </w:p>
        </w:tc>
        <w:tc>
          <w:tcPr>
            <w:tcW w:w="1022" w:type="dxa"/>
            <w:shd w:val="clear" w:color="auto" w:fill="auto"/>
            <w:noWrap/>
            <w:vAlign w:val="bottom"/>
            <w:hideMark/>
          </w:tcPr>
          <w:p w14:paraId="46DB627F"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1370</w:t>
            </w:r>
          </w:p>
        </w:tc>
        <w:tc>
          <w:tcPr>
            <w:tcW w:w="882" w:type="dxa"/>
            <w:shd w:val="clear" w:color="auto" w:fill="auto"/>
            <w:noWrap/>
            <w:vAlign w:val="bottom"/>
            <w:hideMark/>
          </w:tcPr>
          <w:p w14:paraId="695E8809"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1.57 </w:t>
            </w:r>
          </w:p>
        </w:tc>
        <w:tc>
          <w:tcPr>
            <w:tcW w:w="1083" w:type="dxa"/>
            <w:shd w:val="clear" w:color="auto" w:fill="auto"/>
            <w:noWrap/>
            <w:vAlign w:val="bottom"/>
          </w:tcPr>
          <w:p w14:paraId="6A95C2AB" w14:textId="4A35B46F"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Gooding</w:t>
            </w:r>
          </w:p>
        </w:tc>
        <w:tc>
          <w:tcPr>
            <w:tcW w:w="989" w:type="dxa"/>
            <w:shd w:val="clear" w:color="auto" w:fill="auto"/>
            <w:noWrap/>
            <w:vAlign w:val="bottom"/>
          </w:tcPr>
          <w:p w14:paraId="0E5A0E90" w14:textId="0957E29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734</w:t>
            </w:r>
          </w:p>
        </w:tc>
        <w:tc>
          <w:tcPr>
            <w:tcW w:w="882" w:type="dxa"/>
            <w:shd w:val="clear" w:color="auto" w:fill="auto"/>
            <w:noWrap/>
            <w:vAlign w:val="bottom"/>
          </w:tcPr>
          <w:p w14:paraId="2FED6821" w14:textId="0B9B78C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0.84 </w:t>
            </w:r>
          </w:p>
        </w:tc>
      </w:tr>
      <w:tr w:rsidR="00AA05B0" w:rsidRPr="00426A83" w14:paraId="6BA9E717" w14:textId="77777777" w:rsidTr="00AA05B0">
        <w:trPr>
          <w:trHeight w:val="255"/>
        </w:trPr>
        <w:tc>
          <w:tcPr>
            <w:tcW w:w="1083" w:type="dxa"/>
            <w:shd w:val="clear" w:color="auto" w:fill="auto"/>
            <w:noWrap/>
            <w:vAlign w:val="bottom"/>
            <w:hideMark/>
          </w:tcPr>
          <w:p w14:paraId="0CC31091"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Bannock</w:t>
            </w:r>
          </w:p>
        </w:tc>
        <w:tc>
          <w:tcPr>
            <w:tcW w:w="1022" w:type="dxa"/>
            <w:shd w:val="clear" w:color="auto" w:fill="auto"/>
            <w:noWrap/>
            <w:vAlign w:val="bottom"/>
            <w:hideMark/>
          </w:tcPr>
          <w:p w14:paraId="325F49E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1147</w:t>
            </w:r>
          </w:p>
        </w:tc>
        <w:tc>
          <w:tcPr>
            <w:tcW w:w="882" w:type="dxa"/>
            <w:shd w:val="clear" w:color="auto" w:fill="auto"/>
            <w:noWrap/>
            <w:vAlign w:val="bottom"/>
            <w:hideMark/>
          </w:tcPr>
          <w:p w14:paraId="0CA37B8A"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1.31 </w:t>
            </w:r>
          </w:p>
        </w:tc>
        <w:tc>
          <w:tcPr>
            <w:tcW w:w="1083" w:type="dxa"/>
            <w:shd w:val="clear" w:color="auto" w:fill="auto"/>
            <w:noWrap/>
            <w:vAlign w:val="bottom"/>
          </w:tcPr>
          <w:p w14:paraId="76C71553" w14:textId="6675CC59"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Idaho</w:t>
            </w:r>
          </w:p>
        </w:tc>
        <w:tc>
          <w:tcPr>
            <w:tcW w:w="989" w:type="dxa"/>
            <w:shd w:val="clear" w:color="auto" w:fill="auto"/>
            <w:noWrap/>
            <w:vAlign w:val="bottom"/>
          </w:tcPr>
          <w:p w14:paraId="4E8A1A32" w14:textId="502D72E9"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8502</w:t>
            </w:r>
          </w:p>
        </w:tc>
        <w:tc>
          <w:tcPr>
            <w:tcW w:w="882" w:type="dxa"/>
            <w:shd w:val="clear" w:color="auto" w:fill="auto"/>
            <w:noWrap/>
            <w:vAlign w:val="bottom"/>
          </w:tcPr>
          <w:p w14:paraId="231BD28C" w14:textId="7A9E22C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9.71 </w:t>
            </w:r>
          </w:p>
        </w:tc>
      </w:tr>
      <w:tr w:rsidR="00AA05B0" w:rsidRPr="00426A83" w14:paraId="6966B57F" w14:textId="77777777" w:rsidTr="00AA05B0">
        <w:trPr>
          <w:trHeight w:val="255"/>
        </w:trPr>
        <w:tc>
          <w:tcPr>
            <w:tcW w:w="1083" w:type="dxa"/>
            <w:shd w:val="clear" w:color="auto" w:fill="auto"/>
            <w:noWrap/>
            <w:vAlign w:val="bottom"/>
            <w:hideMark/>
          </w:tcPr>
          <w:p w14:paraId="70133EE9"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Bear Lake</w:t>
            </w:r>
          </w:p>
        </w:tc>
        <w:tc>
          <w:tcPr>
            <w:tcW w:w="1022" w:type="dxa"/>
            <w:shd w:val="clear" w:color="auto" w:fill="auto"/>
            <w:noWrap/>
            <w:vAlign w:val="bottom"/>
            <w:hideMark/>
          </w:tcPr>
          <w:p w14:paraId="2D615DA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1049</w:t>
            </w:r>
          </w:p>
        </w:tc>
        <w:tc>
          <w:tcPr>
            <w:tcW w:w="882" w:type="dxa"/>
            <w:shd w:val="clear" w:color="auto" w:fill="auto"/>
            <w:noWrap/>
            <w:vAlign w:val="bottom"/>
            <w:hideMark/>
          </w:tcPr>
          <w:p w14:paraId="0B5327B1"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1.20 </w:t>
            </w:r>
          </w:p>
        </w:tc>
        <w:tc>
          <w:tcPr>
            <w:tcW w:w="1083" w:type="dxa"/>
            <w:shd w:val="clear" w:color="auto" w:fill="auto"/>
            <w:noWrap/>
            <w:vAlign w:val="bottom"/>
          </w:tcPr>
          <w:p w14:paraId="1026581E" w14:textId="1FA9B0E5"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Jefferson</w:t>
            </w:r>
          </w:p>
        </w:tc>
        <w:tc>
          <w:tcPr>
            <w:tcW w:w="989" w:type="dxa"/>
            <w:shd w:val="clear" w:color="auto" w:fill="auto"/>
            <w:noWrap/>
            <w:vAlign w:val="bottom"/>
          </w:tcPr>
          <w:p w14:paraId="2A0F2DD3" w14:textId="4BF41170"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1106</w:t>
            </w:r>
          </w:p>
        </w:tc>
        <w:tc>
          <w:tcPr>
            <w:tcW w:w="882" w:type="dxa"/>
            <w:shd w:val="clear" w:color="auto" w:fill="auto"/>
            <w:noWrap/>
            <w:vAlign w:val="bottom"/>
          </w:tcPr>
          <w:p w14:paraId="235DB09A" w14:textId="6D4DE42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1.26 </w:t>
            </w:r>
          </w:p>
        </w:tc>
      </w:tr>
      <w:tr w:rsidR="00AA05B0" w:rsidRPr="00426A83" w14:paraId="7AA303C7" w14:textId="77777777" w:rsidTr="00AA05B0">
        <w:trPr>
          <w:trHeight w:val="255"/>
        </w:trPr>
        <w:tc>
          <w:tcPr>
            <w:tcW w:w="1083" w:type="dxa"/>
            <w:shd w:val="clear" w:color="auto" w:fill="auto"/>
            <w:noWrap/>
            <w:vAlign w:val="bottom"/>
            <w:hideMark/>
          </w:tcPr>
          <w:p w14:paraId="244DC36C"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Benewah</w:t>
            </w:r>
          </w:p>
        </w:tc>
        <w:tc>
          <w:tcPr>
            <w:tcW w:w="1022" w:type="dxa"/>
            <w:shd w:val="clear" w:color="auto" w:fill="auto"/>
            <w:noWrap/>
            <w:vAlign w:val="bottom"/>
            <w:hideMark/>
          </w:tcPr>
          <w:p w14:paraId="564ECA7E"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784</w:t>
            </w:r>
          </w:p>
        </w:tc>
        <w:tc>
          <w:tcPr>
            <w:tcW w:w="882" w:type="dxa"/>
            <w:shd w:val="clear" w:color="auto" w:fill="auto"/>
            <w:noWrap/>
            <w:vAlign w:val="bottom"/>
            <w:hideMark/>
          </w:tcPr>
          <w:p w14:paraId="27BB2FD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0.90 </w:t>
            </w:r>
          </w:p>
        </w:tc>
        <w:tc>
          <w:tcPr>
            <w:tcW w:w="1083" w:type="dxa"/>
            <w:shd w:val="clear" w:color="auto" w:fill="auto"/>
            <w:noWrap/>
            <w:vAlign w:val="bottom"/>
          </w:tcPr>
          <w:p w14:paraId="53266248" w14:textId="6035BC26"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Jerome</w:t>
            </w:r>
          </w:p>
        </w:tc>
        <w:tc>
          <w:tcPr>
            <w:tcW w:w="989" w:type="dxa"/>
            <w:shd w:val="clear" w:color="auto" w:fill="auto"/>
            <w:noWrap/>
            <w:vAlign w:val="bottom"/>
          </w:tcPr>
          <w:p w14:paraId="02953994" w14:textId="087FE8E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602</w:t>
            </w:r>
          </w:p>
        </w:tc>
        <w:tc>
          <w:tcPr>
            <w:tcW w:w="882" w:type="dxa"/>
            <w:shd w:val="clear" w:color="auto" w:fill="auto"/>
            <w:noWrap/>
            <w:vAlign w:val="bottom"/>
          </w:tcPr>
          <w:p w14:paraId="31CE98F1" w14:textId="2E15C8DF"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r>
      <w:tr w:rsidR="00AA05B0" w:rsidRPr="00426A83" w14:paraId="6C179912" w14:textId="77777777" w:rsidTr="00AA05B0">
        <w:trPr>
          <w:trHeight w:val="255"/>
        </w:trPr>
        <w:tc>
          <w:tcPr>
            <w:tcW w:w="1083" w:type="dxa"/>
            <w:shd w:val="clear" w:color="auto" w:fill="auto"/>
            <w:noWrap/>
            <w:vAlign w:val="bottom"/>
            <w:hideMark/>
          </w:tcPr>
          <w:p w14:paraId="5AD4F1F6"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Bingham</w:t>
            </w:r>
          </w:p>
        </w:tc>
        <w:tc>
          <w:tcPr>
            <w:tcW w:w="1022" w:type="dxa"/>
            <w:shd w:val="clear" w:color="auto" w:fill="auto"/>
            <w:noWrap/>
            <w:vAlign w:val="bottom"/>
            <w:hideMark/>
          </w:tcPr>
          <w:p w14:paraId="3653503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2120</w:t>
            </w:r>
          </w:p>
        </w:tc>
        <w:tc>
          <w:tcPr>
            <w:tcW w:w="882" w:type="dxa"/>
            <w:shd w:val="clear" w:color="auto" w:fill="auto"/>
            <w:noWrap/>
            <w:vAlign w:val="bottom"/>
            <w:hideMark/>
          </w:tcPr>
          <w:p w14:paraId="3538623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2.42 </w:t>
            </w:r>
          </w:p>
        </w:tc>
        <w:tc>
          <w:tcPr>
            <w:tcW w:w="1083" w:type="dxa"/>
            <w:shd w:val="clear" w:color="auto" w:fill="auto"/>
            <w:noWrap/>
            <w:vAlign w:val="bottom"/>
          </w:tcPr>
          <w:p w14:paraId="4F1D69FE" w14:textId="14C7D148"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Kootenai</w:t>
            </w:r>
          </w:p>
        </w:tc>
        <w:tc>
          <w:tcPr>
            <w:tcW w:w="989" w:type="dxa"/>
            <w:shd w:val="clear" w:color="auto" w:fill="auto"/>
            <w:noWrap/>
            <w:vAlign w:val="bottom"/>
          </w:tcPr>
          <w:p w14:paraId="36781914" w14:textId="50B46875"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1316</w:t>
            </w:r>
          </w:p>
        </w:tc>
        <w:tc>
          <w:tcPr>
            <w:tcW w:w="882" w:type="dxa"/>
            <w:shd w:val="clear" w:color="auto" w:fill="auto"/>
            <w:noWrap/>
            <w:vAlign w:val="bottom"/>
          </w:tcPr>
          <w:p w14:paraId="3866EC02" w14:textId="34183E46"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1.50 </w:t>
            </w:r>
          </w:p>
        </w:tc>
      </w:tr>
      <w:tr w:rsidR="00AA05B0" w:rsidRPr="00426A83" w14:paraId="5915E565" w14:textId="77777777" w:rsidTr="00AA05B0">
        <w:trPr>
          <w:trHeight w:val="255"/>
        </w:trPr>
        <w:tc>
          <w:tcPr>
            <w:tcW w:w="1083" w:type="dxa"/>
            <w:shd w:val="clear" w:color="auto" w:fill="auto"/>
            <w:noWrap/>
            <w:vAlign w:val="bottom"/>
            <w:hideMark/>
          </w:tcPr>
          <w:p w14:paraId="6058257F"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Blaine</w:t>
            </w:r>
          </w:p>
        </w:tc>
        <w:tc>
          <w:tcPr>
            <w:tcW w:w="1022" w:type="dxa"/>
            <w:shd w:val="clear" w:color="auto" w:fill="auto"/>
            <w:noWrap/>
            <w:vAlign w:val="bottom"/>
            <w:hideMark/>
          </w:tcPr>
          <w:p w14:paraId="30A370F3"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2661</w:t>
            </w:r>
          </w:p>
        </w:tc>
        <w:tc>
          <w:tcPr>
            <w:tcW w:w="882" w:type="dxa"/>
            <w:shd w:val="clear" w:color="auto" w:fill="auto"/>
            <w:noWrap/>
            <w:vAlign w:val="bottom"/>
            <w:hideMark/>
          </w:tcPr>
          <w:p w14:paraId="0930DEC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3.04 </w:t>
            </w:r>
          </w:p>
        </w:tc>
        <w:tc>
          <w:tcPr>
            <w:tcW w:w="1083" w:type="dxa"/>
            <w:shd w:val="clear" w:color="auto" w:fill="auto"/>
            <w:noWrap/>
            <w:vAlign w:val="bottom"/>
          </w:tcPr>
          <w:p w14:paraId="32DEB96E" w14:textId="2119E13E"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Latah</w:t>
            </w:r>
          </w:p>
        </w:tc>
        <w:tc>
          <w:tcPr>
            <w:tcW w:w="989" w:type="dxa"/>
            <w:shd w:val="clear" w:color="auto" w:fill="auto"/>
            <w:noWrap/>
            <w:vAlign w:val="bottom"/>
          </w:tcPr>
          <w:p w14:paraId="257C7B97" w14:textId="78E2CAE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1077</w:t>
            </w:r>
          </w:p>
        </w:tc>
        <w:tc>
          <w:tcPr>
            <w:tcW w:w="882" w:type="dxa"/>
            <w:shd w:val="clear" w:color="auto" w:fill="auto"/>
            <w:noWrap/>
            <w:vAlign w:val="bottom"/>
          </w:tcPr>
          <w:p w14:paraId="339E2666" w14:textId="2F8E254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r>
      <w:tr w:rsidR="00AA05B0" w:rsidRPr="00426A83" w14:paraId="220C2A3A" w14:textId="77777777" w:rsidTr="00AA05B0">
        <w:trPr>
          <w:trHeight w:val="255"/>
        </w:trPr>
        <w:tc>
          <w:tcPr>
            <w:tcW w:w="1083" w:type="dxa"/>
            <w:shd w:val="clear" w:color="auto" w:fill="auto"/>
            <w:noWrap/>
            <w:vAlign w:val="bottom"/>
            <w:hideMark/>
          </w:tcPr>
          <w:p w14:paraId="380E2690"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Boise</w:t>
            </w:r>
          </w:p>
        </w:tc>
        <w:tc>
          <w:tcPr>
            <w:tcW w:w="1022" w:type="dxa"/>
            <w:shd w:val="clear" w:color="auto" w:fill="auto"/>
            <w:noWrap/>
            <w:vAlign w:val="bottom"/>
            <w:hideMark/>
          </w:tcPr>
          <w:p w14:paraId="11EA381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1907</w:t>
            </w:r>
          </w:p>
        </w:tc>
        <w:tc>
          <w:tcPr>
            <w:tcW w:w="882" w:type="dxa"/>
            <w:shd w:val="clear" w:color="auto" w:fill="auto"/>
            <w:noWrap/>
            <w:vAlign w:val="bottom"/>
            <w:hideMark/>
          </w:tcPr>
          <w:p w14:paraId="61773CD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2.18 </w:t>
            </w:r>
          </w:p>
        </w:tc>
        <w:tc>
          <w:tcPr>
            <w:tcW w:w="1083" w:type="dxa"/>
            <w:shd w:val="clear" w:color="auto" w:fill="auto"/>
            <w:noWrap/>
            <w:vAlign w:val="bottom"/>
          </w:tcPr>
          <w:p w14:paraId="36653C66" w14:textId="7B3810D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Lemhi</w:t>
            </w:r>
          </w:p>
        </w:tc>
        <w:tc>
          <w:tcPr>
            <w:tcW w:w="989" w:type="dxa"/>
            <w:shd w:val="clear" w:color="auto" w:fill="auto"/>
            <w:noWrap/>
            <w:vAlign w:val="bottom"/>
          </w:tcPr>
          <w:p w14:paraId="64CAF569" w14:textId="30EB0D54"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4570</w:t>
            </w:r>
          </w:p>
        </w:tc>
        <w:tc>
          <w:tcPr>
            <w:tcW w:w="882" w:type="dxa"/>
            <w:shd w:val="clear" w:color="auto" w:fill="auto"/>
            <w:noWrap/>
            <w:vAlign w:val="bottom"/>
          </w:tcPr>
          <w:p w14:paraId="5935AD9C" w14:textId="446B27D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5.22 </w:t>
            </w:r>
          </w:p>
        </w:tc>
      </w:tr>
      <w:tr w:rsidR="00AA05B0" w:rsidRPr="00426A83" w14:paraId="04FCCA8E" w14:textId="77777777" w:rsidTr="00AA05B0">
        <w:trPr>
          <w:trHeight w:val="255"/>
        </w:trPr>
        <w:tc>
          <w:tcPr>
            <w:tcW w:w="1083" w:type="dxa"/>
            <w:shd w:val="clear" w:color="auto" w:fill="auto"/>
            <w:noWrap/>
            <w:vAlign w:val="bottom"/>
            <w:hideMark/>
          </w:tcPr>
          <w:p w14:paraId="47BCB2C2"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Bonner</w:t>
            </w:r>
          </w:p>
        </w:tc>
        <w:tc>
          <w:tcPr>
            <w:tcW w:w="1022" w:type="dxa"/>
            <w:shd w:val="clear" w:color="auto" w:fill="auto"/>
            <w:noWrap/>
            <w:vAlign w:val="bottom"/>
            <w:hideMark/>
          </w:tcPr>
          <w:p w14:paraId="2D22A57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1920</w:t>
            </w:r>
          </w:p>
        </w:tc>
        <w:tc>
          <w:tcPr>
            <w:tcW w:w="882" w:type="dxa"/>
            <w:shd w:val="clear" w:color="auto" w:fill="auto"/>
            <w:noWrap/>
            <w:vAlign w:val="bottom"/>
            <w:hideMark/>
          </w:tcPr>
          <w:p w14:paraId="253218FA"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2.19 </w:t>
            </w:r>
          </w:p>
        </w:tc>
        <w:tc>
          <w:tcPr>
            <w:tcW w:w="1083" w:type="dxa"/>
            <w:shd w:val="clear" w:color="auto" w:fill="auto"/>
            <w:noWrap/>
            <w:vAlign w:val="bottom"/>
          </w:tcPr>
          <w:p w14:paraId="0DF4ED64" w14:textId="5DE4DC51"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Lewis</w:t>
            </w:r>
          </w:p>
        </w:tc>
        <w:tc>
          <w:tcPr>
            <w:tcW w:w="989" w:type="dxa"/>
            <w:shd w:val="clear" w:color="auto" w:fill="auto"/>
            <w:noWrap/>
            <w:vAlign w:val="bottom"/>
          </w:tcPr>
          <w:p w14:paraId="0843BC25" w14:textId="2FE4EE83"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480</w:t>
            </w:r>
          </w:p>
        </w:tc>
        <w:tc>
          <w:tcPr>
            <w:tcW w:w="882" w:type="dxa"/>
            <w:shd w:val="clear" w:color="auto" w:fill="auto"/>
            <w:noWrap/>
            <w:vAlign w:val="bottom"/>
          </w:tcPr>
          <w:p w14:paraId="29958E5E" w14:textId="7C9EDE5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0.55 </w:t>
            </w:r>
          </w:p>
        </w:tc>
      </w:tr>
      <w:tr w:rsidR="00AA05B0" w:rsidRPr="00426A83" w14:paraId="62546979" w14:textId="77777777" w:rsidTr="00AA05B0">
        <w:trPr>
          <w:trHeight w:val="255"/>
        </w:trPr>
        <w:tc>
          <w:tcPr>
            <w:tcW w:w="1083" w:type="dxa"/>
            <w:shd w:val="clear" w:color="auto" w:fill="auto"/>
            <w:noWrap/>
            <w:vAlign w:val="bottom"/>
            <w:hideMark/>
          </w:tcPr>
          <w:p w14:paraId="70F363A7"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Bonneville</w:t>
            </w:r>
          </w:p>
        </w:tc>
        <w:tc>
          <w:tcPr>
            <w:tcW w:w="1022" w:type="dxa"/>
            <w:shd w:val="clear" w:color="auto" w:fill="auto"/>
            <w:noWrap/>
            <w:vAlign w:val="bottom"/>
            <w:hideMark/>
          </w:tcPr>
          <w:p w14:paraId="4442F51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1901</w:t>
            </w:r>
          </w:p>
        </w:tc>
        <w:tc>
          <w:tcPr>
            <w:tcW w:w="882" w:type="dxa"/>
            <w:shd w:val="clear" w:color="auto" w:fill="auto"/>
            <w:noWrap/>
            <w:vAlign w:val="bottom"/>
            <w:hideMark/>
          </w:tcPr>
          <w:p w14:paraId="57C1D4F7"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83" w:type="dxa"/>
            <w:shd w:val="clear" w:color="auto" w:fill="auto"/>
            <w:noWrap/>
            <w:vAlign w:val="bottom"/>
          </w:tcPr>
          <w:p w14:paraId="4213DE7F" w14:textId="75C3DB9C"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Lincoln</w:t>
            </w:r>
          </w:p>
        </w:tc>
        <w:tc>
          <w:tcPr>
            <w:tcW w:w="989" w:type="dxa"/>
            <w:shd w:val="clear" w:color="auto" w:fill="auto"/>
            <w:noWrap/>
            <w:vAlign w:val="bottom"/>
          </w:tcPr>
          <w:p w14:paraId="0F4B9504" w14:textId="75CCD83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1206</w:t>
            </w:r>
          </w:p>
        </w:tc>
        <w:tc>
          <w:tcPr>
            <w:tcW w:w="882" w:type="dxa"/>
            <w:shd w:val="clear" w:color="auto" w:fill="auto"/>
            <w:noWrap/>
            <w:vAlign w:val="bottom"/>
          </w:tcPr>
          <w:p w14:paraId="61A07CFD" w14:textId="4E8EDEFD"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1.38 </w:t>
            </w:r>
          </w:p>
        </w:tc>
      </w:tr>
      <w:tr w:rsidR="00AA05B0" w:rsidRPr="00426A83" w14:paraId="7A6E5067" w14:textId="77777777" w:rsidTr="00AA05B0">
        <w:trPr>
          <w:trHeight w:val="255"/>
        </w:trPr>
        <w:tc>
          <w:tcPr>
            <w:tcW w:w="1083" w:type="dxa"/>
            <w:shd w:val="clear" w:color="auto" w:fill="auto"/>
            <w:noWrap/>
            <w:vAlign w:val="bottom"/>
            <w:hideMark/>
          </w:tcPr>
          <w:p w14:paraId="5B5F248B"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Boundary</w:t>
            </w:r>
          </w:p>
        </w:tc>
        <w:tc>
          <w:tcPr>
            <w:tcW w:w="1022" w:type="dxa"/>
            <w:shd w:val="clear" w:color="auto" w:fill="auto"/>
            <w:noWrap/>
            <w:vAlign w:val="bottom"/>
            <w:hideMark/>
          </w:tcPr>
          <w:p w14:paraId="6C09BD50"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1278</w:t>
            </w:r>
          </w:p>
        </w:tc>
        <w:tc>
          <w:tcPr>
            <w:tcW w:w="882" w:type="dxa"/>
            <w:shd w:val="clear" w:color="auto" w:fill="auto"/>
            <w:noWrap/>
            <w:vAlign w:val="bottom"/>
            <w:hideMark/>
          </w:tcPr>
          <w:p w14:paraId="4CB0979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1.46 </w:t>
            </w:r>
          </w:p>
        </w:tc>
        <w:tc>
          <w:tcPr>
            <w:tcW w:w="1083" w:type="dxa"/>
            <w:shd w:val="clear" w:color="auto" w:fill="auto"/>
            <w:noWrap/>
            <w:vAlign w:val="bottom"/>
          </w:tcPr>
          <w:p w14:paraId="2DB3E9CD" w14:textId="5A0D6E3E"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Madison</w:t>
            </w:r>
          </w:p>
        </w:tc>
        <w:tc>
          <w:tcPr>
            <w:tcW w:w="989" w:type="dxa"/>
            <w:shd w:val="clear" w:color="auto" w:fill="auto"/>
            <w:noWrap/>
            <w:vAlign w:val="bottom"/>
          </w:tcPr>
          <w:p w14:paraId="6A1D1990" w14:textId="504B34A9"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473</w:t>
            </w:r>
          </w:p>
        </w:tc>
        <w:tc>
          <w:tcPr>
            <w:tcW w:w="882" w:type="dxa"/>
            <w:shd w:val="clear" w:color="auto" w:fill="auto"/>
            <w:noWrap/>
            <w:vAlign w:val="bottom"/>
          </w:tcPr>
          <w:p w14:paraId="796A9D13" w14:textId="70302610"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0.54 </w:t>
            </w:r>
          </w:p>
        </w:tc>
      </w:tr>
      <w:tr w:rsidR="00AA05B0" w:rsidRPr="00426A83" w14:paraId="08A9F0E1" w14:textId="77777777" w:rsidTr="00AA05B0">
        <w:trPr>
          <w:trHeight w:val="255"/>
        </w:trPr>
        <w:tc>
          <w:tcPr>
            <w:tcW w:w="1083" w:type="dxa"/>
            <w:shd w:val="clear" w:color="auto" w:fill="auto"/>
            <w:noWrap/>
            <w:vAlign w:val="bottom"/>
          </w:tcPr>
          <w:p w14:paraId="03908688" w14:textId="6C480D3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Butte</w:t>
            </w:r>
          </w:p>
        </w:tc>
        <w:tc>
          <w:tcPr>
            <w:tcW w:w="1022" w:type="dxa"/>
            <w:shd w:val="clear" w:color="auto" w:fill="auto"/>
            <w:noWrap/>
            <w:vAlign w:val="bottom"/>
          </w:tcPr>
          <w:p w14:paraId="5A85C56E" w14:textId="233124E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2234</w:t>
            </w:r>
          </w:p>
        </w:tc>
        <w:tc>
          <w:tcPr>
            <w:tcW w:w="882" w:type="dxa"/>
            <w:shd w:val="clear" w:color="auto" w:fill="auto"/>
            <w:noWrap/>
            <w:vAlign w:val="bottom"/>
          </w:tcPr>
          <w:p w14:paraId="58F3E560" w14:textId="2F622F1A"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2.55 </w:t>
            </w:r>
          </w:p>
        </w:tc>
        <w:tc>
          <w:tcPr>
            <w:tcW w:w="1083" w:type="dxa"/>
            <w:shd w:val="clear" w:color="auto" w:fill="auto"/>
            <w:noWrap/>
            <w:vAlign w:val="bottom"/>
          </w:tcPr>
          <w:p w14:paraId="1FB37A9B" w14:textId="1E0FCA5C"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Minidoka</w:t>
            </w:r>
          </w:p>
        </w:tc>
        <w:tc>
          <w:tcPr>
            <w:tcW w:w="989" w:type="dxa"/>
            <w:shd w:val="clear" w:color="auto" w:fill="auto"/>
            <w:noWrap/>
            <w:vAlign w:val="bottom"/>
          </w:tcPr>
          <w:p w14:paraId="437340E9" w14:textId="5ED2E98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763</w:t>
            </w:r>
          </w:p>
        </w:tc>
        <w:tc>
          <w:tcPr>
            <w:tcW w:w="882" w:type="dxa"/>
            <w:shd w:val="clear" w:color="auto" w:fill="auto"/>
            <w:noWrap/>
            <w:vAlign w:val="bottom"/>
          </w:tcPr>
          <w:p w14:paraId="378DF1C1" w14:textId="5C561CD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0.87 </w:t>
            </w:r>
          </w:p>
        </w:tc>
      </w:tr>
      <w:tr w:rsidR="00AA05B0" w:rsidRPr="00426A83" w14:paraId="4B7CB666" w14:textId="77777777" w:rsidTr="00AA05B0">
        <w:trPr>
          <w:trHeight w:val="255"/>
        </w:trPr>
        <w:tc>
          <w:tcPr>
            <w:tcW w:w="1083" w:type="dxa"/>
            <w:shd w:val="clear" w:color="auto" w:fill="auto"/>
            <w:noWrap/>
            <w:vAlign w:val="bottom"/>
          </w:tcPr>
          <w:p w14:paraId="7A8AACE5" w14:textId="64B5C937"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Camas</w:t>
            </w:r>
          </w:p>
        </w:tc>
        <w:tc>
          <w:tcPr>
            <w:tcW w:w="1022" w:type="dxa"/>
            <w:shd w:val="clear" w:color="auto" w:fill="auto"/>
            <w:noWrap/>
            <w:vAlign w:val="bottom"/>
          </w:tcPr>
          <w:p w14:paraId="3517C022" w14:textId="2CF53BD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1079</w:t>
            </w:r>
          </w:p>
        </w:tc>
        <w:tc>
          <w:tcPr>
            <w:tcW w:w="882" w:type="dxa"/>
            <w:shd w:val="clear" w:color="auto" w:fill="auto"/>
            <w:noWrap/>
            <w:vAlign w:val="bottom"/>
          </w:tcPr>
          <w:p w14:paraId="6B32A467" w14:textId="5705806B"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1083" w:type="dxa"/>
            <w:shd w:val="clear" w:color="auto" w:fill="auto"/>
            <w:noWrap/>
            <w:vAlign w:val="bottom"/>
          </w:tcPr>
          <w:p w14:paraId="10D9EB46" w14:textId="6E9E19EE"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Nez Perce</w:t>
            </w:r>
          </w:p>
        </w:tc>
        <w:tc>
          <w:tcPr>
            <w:tcW w:w="989" w:type="dxa"/>
            <w:shd w:val="clear" w:color="auto" w:fill="auto"/>
            <w:noWrap/>
            <w:vAlign w:val="bottom"/>
          </w:tcPr>
          <w:p w14:paraId="1323869E" w14:textId="4255C2E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856</w:t>
            </w:r>
          </w:p>
        </w:tc>
        <w:tc>
          <w:tcPr>
            <w:tcW w:w="882" w:type="dxa"/>
            <w:shd w:val="clear" w:color="auto" w:fill="auto"/>
            <w:noWrap/>
            <w:vAlign w:val="bottom"/>
          </w:tcPr>
          <w:p w14:paraId="54F018FD" w14:textId="6F22490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0.98 </w:t>
            </w:r>
          </w:p>
        </w:tc>
      </w:tr>
      <w:tr w:rsidR="00AA05B0" w:rsidRPr="00426A83" w14:paraId="444C3209" w14:textId="77777777" w:rsidTr="00AA05B0">
        <w:trPr>
          <w:trHeight w:val="255"/>
        </w:trPr>
        <w:tc>
          <w:tcPr>
            <w:tcW w:w="1083" w:type="dxa"/>
            <w:shd w:val="clear" w:color="auto" w:fill="auto"/>
            <w:noWrap/>
            <w:vAlign w:val="bottom"/>
          </w:tcPr>
          <w:p w14:paraId="0A6E4E02" w14:textId="091C767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Canyon</w:t>
            </w:r>
          </w:p>
        </w:tc>
        <w:tc>
          <w:tcPr>
            <w:tcW w:w="1022" w:type="dxa"/>
            <w:shd w:val="clear" w:color="auto" w:fill="auto"/>
            <w:noWrap/>
            <w:vAlign w:val="bottom"/>
          </w:tcPr>
          <w:p w14:paraId="44B36C3B" w14:textId="23FA8FA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604</w:t>
            </w:r>
          </w:p>
        </w:tc>
        <w:tc>
          <w:tcPr>
            <w:tcW w:w="882" w:type="dxa"/>
            <w:shd w:val="clear" w:color="auto" w:fill="auto"/>
            <w:noWrap/>
            <w:vAlign w:val="bottom"/>
          </w:tcPr>
          <w:p w14:paraId="324BF48B" w14:textId="5E659EE8"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1083" w:type="dxa"/>
            <w:shd w:val="clear" w:color="auto" w:fill="auto"/>
            <w:noWrap/>
            <w:vAlign w:val="bottom"/>
          </w:tcPr>
          <w:p w14:paraId="26F13B8F" w14:textId="11581465"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Oneida</w:t>
            </w:r>
          </w:p>
        </w:tc>
        <w:tc>
          <w:tcPr>
            <w:tcW w:w="989" w:type="dxa"/>
            <w:shd w:val="clear" w:color="auto" w:fill="auto"/>
            <w:noWrap/>
            <w:vAlign w:val="bottom"/>
          </w:tcPr>
          <w:p w14:paraId="0F86A63B" w14:textId="7B13169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1202</w:t>
            </w:r>
          </w:p>
        </w:tc>
        <w:tc>
          <w:tcPr>
            <w:tcW w:w="882" w:type="dxa"/>
            <w:shd w:val="clear" w:color="auto" w:fill="auto"/>
            <w:noWrap/>
            <w:vAlign w:val="bottom"/>
          </w:tcPr>
          <w:p w14:paraId="3BA3F1A3" w14:textId="2655BB8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1.37 </w:t>
            </w:r>
          </w:p>
        </w:tc>
      </w:tr>
      <w:tr w:rsidR="00AA05B0" w:rsidRPr="00426A83" w14:paraId="0409976B" w14:textId="77777777" w:rsidTr="00AA05B0">
        <w:trPr>
          <w:trHeight w:val="255"/>
        </w:trPr>
        <w:tc>
          <w:tcPr>
            <w:tcW w:w="1083" w:type="dxa"/>
            <w:shd w:val="clear" w:color="auto" w:fill="auto"/>
            <w:noWrap/>
            <w:vAlign w:val="bottom"/>
          </w:tcPr>
          <w:p w14:paraId="3A285072" w14:textId="7B8E0EA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Caribou</w:t>
            </w:r>
          </w:p>
        </w:tc>
        <w:tc>
          <w:tcPr>
            <w:tcW w:w="1022" w:type="dxa"/>
            <w:shd w:val="clear" w:color="auto" w:fill="auto"/>
            <w:noWrap/>
            <w:vAlign w:val="bottom"/>
          </w:tcPr>
          <w:p w14:paraId="37A302B3" w14:textId="13D638B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1799</w:t>
            </w:r>
          </w:p>
        </w:tc>
        <w:tc>
          <w:tcPr>
            <w:tcW w:w="882" w:type="dxa"/>
            <w:shd w:val="clear" w:color="auto" w:fill="auto"/>
            <w:noWrap/>
            <w:vAlign w:val="bottom"/>
          </w:tcPr>
          <w:p w14:paraId="03AB6C57" w14:textId="1C49FEE0"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2.06 </w:t>
            </w:r>
          </w:p>
        </w:tc>
        <w:tc>
          <w:tcPr>
            <w:tcW w:w="1083" w:type="dxa"/>
            <w:shd w:val="clear" w:color="auto" w:fill="auto"/>
            <w:noWrap/>
            <w:vAlign w:val="bottom"/>
          </w:tcPr>
          <w:p w14:paraId="6267FAE1" w14:textId="4206FD09"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Owyhee</w:t>
            </w:r>
          </w:p>
        </w:tc>
        <w:tc>
          <w:tcPr>
            <w:tcW w:w="989" w:type="dxa"/>
            <w:shd w:val="clear" w:color="auto" w:fill="auto"/>
            <w:noWrap/>
            <w:vAlign w:val="bottom"/>
          </w:tcPr>
          <w:p w14:paraId="4A106932" w14:textId="21260C7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7697</w:t>
            </w:r>
          </w:p>
        </w:tc>
        <w:tc>
          <w:tcPr>
            <w:tcW w:w="882" w:type="dxa"/>
            <w:shd w:val="clear" w:color="auto" w:fill="auto"/>
            <w:noWrap/>
            <w:vAlign w:val="bottom"/>
          </w:tcPr>
          <w:p w14:paraId="72A08CBC" w14:textId="4BB86ADF"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8.79 </w:t>
            </w:r>
          </w:p>
        </w:tc>
      </w:tr>
      <w:tr w:rsidR="00AA05B0" w:rsidRPr="00426A83" w14:paraId="13B5E622" w14:textId="77777777" w:rsidTr="00AA05B0">
        <w:trPr>
          <w:trHeight w:val="255"/>
        </w:trPr>
        <w:tc>
          <w:tcPr>
            <w:tcW w:w="1083" w:type="dxa"/>
            <w:shd w:val="clear" w:color="auto" w:fill="auto"/>
            <w:noWrap/>
            <w:vAlign w:val="bottom"/>
          </w:tcPr>
          <w:p w14:paraId="7F029B8A" w14:textId="5DC394AA"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Cassia</w:t>
            </w:r>
          </w:p>
        </w:tc>
        <w:tc>
          <w:tcPr>
            <w:tcW w:w="1022" w:type="dxa"/>
            <w:shd w:val="clear" w:color="auto" w:fill="auto"/>
            <w:noWrap/>
            <w:vAlign w:val="bottom"/>
          </w:tcPr>
          <w:p w14:paraId="2215FBC4" w14:textId="332B2DED"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2580</w:t>
            </w:r>
          </w:p>
        </w:tc>
        <w:tc>
          <w:tcPr>
            <w:tcW w:w="882" w:type="dxa"/>
            <w:shd w:val="clear" w:color="auto" w:fill="auto"/>
            <w:noWrap/>
            <w:vAlign w:val="bottom"/>
          </w:tcPr>
          <w:p w14:paraId="406840C8" w14:textId="1A8DB3B8"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2.95 </w:t>
            </w:r>
          </w:p>
        </w:tc>
        <w:tc>
          <w:tcPr>
            <w:tcW w:w="1083" w:type="dxa"/>
            <w:shd w:val="clear" w:color="auto" w:fill="auto"/>
            <w:noWrap/>
            <w:vAlign w:val="bottom"/>
          </w:tcPr>
          <w:p w14:paraId="7A8A036E" w14:textId="7CE8D7B5"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Payette</w:t>
            </w:r>
          </w:p>
        </w:tc>
        <w:tc>
          <w:tcPr>
            <w:tcW w:w="989" w:type="dxa"/>
            <w:shd w:val="clear" w:color="auto" w:fill="auto"/>
            <w:noWrap/>
            <w:vAlign w:val="bottom"/>
          </w:tcPr>
          <w:p w14:paraId="1BB29DCE" w14:textId="0BA82DC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410</w:t>
            </w:r>
          </w:p>
        </w:tc>
        <w:tc>
          <w:tcPr>
            <w:tcW w:w="882" w:type="dxa"/>
            <w:shd w:val="clear" w:color="auto" w:fill="auto"/>
            <w:noWrap/>
            <w:vAlign w:val="bottom"/>
          </w:tcPr>
          <w:p w14:paraId="2E5CB1A4" w14:textId="4DF0B18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0.47 </w:t>
            </w:r>
          </w:p>
        </w:tc>
      </w:tr>
      <w:tr w:rsidR="00AA05B0" w:rsidRPr="00426A83" w14:paraId="7ADE068C" w14:textId="77777777" w:rsidTr="00AA05B0">
        <w:trPr>
          <w:trHeight w:val="255"/>
        </w:trPr>
        <w:tc>
          <w:tcPr>
            <w:tcW w:w="1083" w:type="dxa"/>
            <w:shd w:val="clear" w:color="auto" w:fill="auto"/>
            <w:noWrap/>
            <w:vAlign w:val="bottom"/>
          </w:tcPr>
          <w:p w14:paraId="444A515C" w14:textId="49344C6C"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Clark</w:t>
            </w:r>
          </w:p>
        </w:tc>
        <w:tc>
          <w:tcPr>
            <w:tcW w:w="1022" w:type="dxa"/>
            <w:shd w:val="clear" w:color="auto" w:fill="auto"/>
            <w:noWrap/>
            <w:vAlign w:val="bottom"/>
          </w:tcPr>
          <w:p w14:paraId="72201A4C" w14:textId="7664960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1765</w:t>
            </w:r>
          </w:p>
        </w:tc>
        <w:tc>
          <w:tcPr>
            <w:tcW w:w="882" w:type="dxa"/>
            <w:shd w:val="clear" w:color="auto" w:fill="auto"/>
            <w:noWrap/>
            <w:vAlign w:val="bottom"/>
          </w:tcPr>
          <w:p w14:paraId="549DDAAE" w14:textId="0BDBD592"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2.02 </w:t>
            </w:r>
          </w:p>
        </w:tc>
        <w:tc>
          <w:tcPr>
            <w:tcW w:w="1083" w:type="dxa"/>
            <w:shd w:val="clear" w:color="auto" w:fill="auto"/>
            <w:noWrap/>
            <w:vAlign w:val="bottom"/>
          </w:tcPr>
          <w:p w14:paraId="46DB35D4" w14:textId="25D6CB5A"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Power</w:t>
            </w:r>
          </w:p>
        </w:tc>
        <w:tc>
          <w:tcPr>
            <w:tcW w:w="989" w:type="dxa"/>
            <w:shd w:val="clear" w:color="auto" w:fill="auto"/>
            <w:noWrap/>
            <w:vAlign w:val="bottom"/>
          </w:tcPr>
          <w:p w14:paraId="62ACE014" w14:textId="3C44109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1443</w:t>
            </w:r>
          </w:p>
        </w:tc>
        <w:tc>
          <w:tcPr>
            <w:tcW w:w="882" w:type="dxa"/>
            <w:shd w:val="clear" w:color="auto" w:fill="auto"/>
            <w:noWrap/>
            <w:vAlign w:val="bottom"/>
          </w:tcPr>
          <w:p w14:paraId="1D1D45D8" w14:textId="1A3D42FB"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1.65 </w:t>
            </w:r>
          </w:p>
        </w:tc>
      </w:tr>
      <w:tr w:rsidR="00AA05B0" w:rsidRPr="00426A83" w14:paraId="557E35F5" w14:textId="77777777" w:rsidTr="00AA05B0">
        <w:trPr>
          <w:trHeight w:val="255"/>
        </w:trPr>
        <w:tc>
          <w:tcPr>
            <w:tcW w:w="1083" w:type="dxa"/>
            <w:shd w:val="clear" w:color="auto" w:fill="auto"/>
            <w:noWrap/>
            <w:vAlign w:val="bottom"/>
          </w:tcPr>
          <w:p w14:paraId="32AE1009" w14:textId="0B9D0BD9"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Clearwater</w:t>
            </w:r>
          </w:p>
        </w:tc>
        <w:tc>
          <w:tcPr>
            <w:tcW w:w="1022" w:type="dxa"/>
            <w:shd w:val="clear" w:color="auto" w:fill="auto"/>
            <w:noWrap/>
            <w:vAlign w:val="bottom"/>
          </w:tcPr>
          <w:p w14:paraId="5AAA07C1" w14:textId="22DC341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2488</w:t>
            </w:r>
          </w:p>
        </w:tc>
        <w:tc>
          <w:tcPr>
            <w:tcW w:w="882" w:type="dxa"/>
            <w:shd w:val="clear" w:color="auto" w:fill="auto"/>
            <w:noWrap/>
            <w:vAlign w:val="bottom"/>
          </w:tcPr>
          <w:p w14:paraId="47F852D3" w14:textId="74C708E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2.84 </w:t>
            </w:r>
          </w:p>
        </w:tc>
        <w:tc>
          <w:tcPr>
            <w:tcW w:w="1083" w:type="dxa"/>
            <w:shd w:val="clear" w:color="auto" w:fill="auto"/>
            <w:noWrap/>
            <w:vAlign w:val="bottom"/>
          </w:tcPr>
          <w:p w14:paraId="1C8E4F15" w14:textId="3B3F4DA8"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Shoshone</w:t>
            </w:r>
          </w:p>
        </w:tc>
        <w:tc>
          <w:tcPr>
            <w:tcW w:w="989" w:type="dxa"/>
            <w:shd w:val="clear" w:color="auto" w:fill="auto"/>
            <w:noWrap/>
            <w:vAlign w:val="bottom"/>
          </w:tcPr>
          <w:p w14:paraId="1A7C97B9" w14:textId="069301E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2636</w:t>
            </w:r>
          </w:p>
        </w:tc>
        <w:tc>
          <w:tcPr>
            <w:tcW w:w="882" w:type="dxa"/>
            <w:shd w:val="clear" w:color="auto" w:fill="auto"/>
            <w:noWrap/>
            <w:vAlign w:val="bottom"/>
          </w:tcPr>
          <w:p w14:paraId="38D54570" w14:textId="50BC7C3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3.01 </w:t>
            </w:r>
          </w:p>
        </w:tc>
      </w:tr>
      <w:tr w:rsidR="00AA05B0" w:rsidRPr="00426A83" w14:paraId="24758835" w14:textId="77777777" w:rsidTr="00AA05B0">
        <w:trPr>
          <w:trHeight w:val="255"/>
        </w:trPr>
        <w:tc>
          <w:tcPr>
            <w:tcW w:w="1083" w:type="dxa"/>
            <w:shd w:val="clear" w:color="auto" w:fill="auto"/>
            <w:noWrap/>
            <w:vAlign w:val="bottom"/>
          </w:tcPr>
          <w:p w14:paraId="65E8E3C0" w14:textId="12AE839B"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Custer</w:t>
            </w:r>
          </w:p>
        </w:tc>
        <w:tc>
          <w:tcPr>
            <w:tcW w:w="1022" w:type="dxa"/>
            <w:shd w:val="clear" w:color="auto" w:fill="auto"/>
            <w:noWrap/>
            <w:vAlign w:val="bottom"/>
          </w:tcPr>
          <w:p w14:paraId="32761E3C" w14:textId="4BFB8F9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4937</w:t>
            </w:r>
          </w:p>
        </w:tc>
        <w:tc>
          <w:tcPr>
            <w:tcW w:w="882" w:type="dxa"/>
            <w:shd w:val="clear" w:color="auto" w:fill="auto"/>
            <w:noWrap/>
            <w:vAlign w:val="bottom"/>
          </w:tcPr>
          <w:p w14:paraId="7872A355" w14:textId="0CBFD212"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5.64 </w:t>
            </w:r>
          </w:p>
        </w:tc>
        <w:tc>
          <w:tcPr>
            <w:tcW w:w="1083" w:type="dxa"/>
            <w:shd w:val="clear" w:color="auto" w:fill="auto"/>
            <w:noWrap/>
            <w:vAlign w:val="bottom"/>
          </w:tcPr>
          <w:p w14:paraId="60F0F547" w14:textId="69F54102"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Teton</w:t>
            </w:r>
          </w:p>
        </w:tc>
        <w:tc>
          <w:tcPr>
            <w:tcW w:w="989" w:type="dxa"/>
            <w:shd w:val="clear" w:color="auto" w:fill="auto"/>
            <w:noWrap/>
            <w:vAlign w:val="bottom"/>
          </w:tcPr>
          <w:p w14:paraId="16FE994F" w14:textId="00CBE86F"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451</w:t>
            </w:r>
          </w:p>
        </w:tc>
        <w:tc>
          <w:tcPr>
            <w:tcW w:w="882" w:type="dxa"/>
            <w:shd w:val="clear" w:color="auto" w:fill="auto"/>
            <w:noWrap/>
            <w:vAlign w:val="bottom"/>
          </w:tcPr>
          <w:p w14:paraId="404C307C" w14:textId="29A0A3B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0.52 </w:t>
            </w:r>
          </w:p>
        </w:tc>
      </w:tr>
      <w:tr w:rsidR="00AA05B0" w:rsidRPr="00426A83" w14:paraId="6CF7EAE4" w14:textId="77777777" w:rsidTr="00AA05B0">
        <w:trPr>
          <w:trHeight w:val="255"/>
        </w:trPr>
        <w:tc>
          <w:tcPr>
            <w:tcW w:w="1083" w:type="dxa"/>
            <w:shd w:val="clear" w:color="auto" w:fill="auto"/>
            <w:noWrap/>
            <w:vAlign w:val="bottom"/>
          </w:tcPr>
          <w:p w14:paraId="6F00E65B" w14:textId="35EAC3F2"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Elmore</w:t>
            </w:r>
          </w:p>
        </w:tc>
        <w:tc>
          <w:tcPr>
            <w:tcW w:w="1022" w:type="dxa"/>
            <w:shd w:val="clear" w:color="auto" w:fill="auto"/>
            <w:noWrap/>
            <w:vAlign w:val="bottom"/>
          </w:tcPr>
          <w:p w14:paraId="10921C36" w14:textId="0A6BF8BA"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3101</w:t>
            </w:r>
          </w:p>
        </w:tc>
        <w:tc>
          <w:tcPr>
            <w:tcW w:w="882" w:type="dxa"/>
            <w:shd w:val="clear" w:color="auto" w:fill="auto"/>
            <w:noWrap/>
            <w:vAlign w:val="bottom"/>
          </w:tcPr>
          <w:p w14:paraId="5050ED80" w14:textId="6B31BAE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3.54 </w:t>
            </w:r>
          </w:p>
        </w:tc>
        <w:tc>
          <w:tcPr>
            <w:tcW w:w="1083" w:type="dxa"/>
            <w:shd w:val="clear" w:color="auto" w:fill="auto"/>
            <w:noWrap/>
            <w:vAlign w:val="bottom"/>
          </w:tcPr>
          <w:p w14:paraId="4BB435F2" w14:textId="12B5A8E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Twin Falls</w:t>
            </w:r>
          </w:p>
        </w:tc>
        <w:tc>
          <w:tcPr>
            <w:tcW w:w="989" w:type="dxa"/>
            <w:shd w:val="clear" w:color="auto" w:fill="auto"/>
            <w:noWrap/>
            <w:vAlign w:val="bottom"/>
          </w:tcPr>
          <w:p w14:paraId="5B8654B6" w14:textId="5E1E84B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1928</w:t>
            </w:r>
          </w:p>
        </w:tc>
        <w:tc>
          <w:tcPr>
            <w:tcW w:w="882" w:type="dxa"/>
            <w:shd w:val="clear" w:color="auto" w:fill="auto"/>
            <w:noWrap/>
            <w:vAlign w:val="bottom"/>
          </w:tcPr>
          <w:p w14:paraId="4B6CB51D" w14:textId="53D574C5"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2.20 </w:t>
            </w:r>
          </w:p>
        </w:tc>
      </w:tr>
      <w:tr w:rsidR="00AA05B0" w:rsidRPr="00426A83" w14:paraId="3B880C86" w14:textId="77777777" w:rsidTr="00AA05B0">
        <w:trPr>
          <w:trHeight w:val="255"/>
        </w:trPr>
        <w:tc>
          <w:tcPr>
            <w:tcW w:w="1083" w:type="dxa"/>
            <w:shd w:val="clear" w:color="auto" w:fill="auto"/>
            <w:noWrap/>
            <w:vAlign w:val="bottom"/>
          </w:tcPr>
          <w:p w14:paraId="45CC2F1A" w14:textId="6DDD219D"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Franklin</w:t>
            </w:r>
          </w:p>
        </w:tc>
        <w:tc>
          <w:tcPr>
            <w:tcW w:w="1022" w:type="dxa"/>
            <w:shd w:val="clear" w:color="auto" w:fill="auto"/>
            <w:noWrap/>
            <w:vAlign w:val="bottom"/>
          </w:tcPr>
          <w:p w14:paraId="4537C28D" w14:textId="575F664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668</w:t>
            </w:r>
          </w:p>
        </w:tc>
        <w:tc>
          <w:tcPr>
            <w:tcW w:w="882" w:type="dxa"/>
            <w:shd w:val="clear" w:color="auto" w:fill="auto"/>
            <w:noWrap/>
            <w:vAlign w:val="bottom"/>
          </w:tcPr>
          <w:p w14:paraId="072F675B" w14:textId="01E31DA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0.76 </w:t>
            </w:r>
          </w:p>
        </w:tc>
        <w:tc>
          <w:tcPr>
            <w:tcW w:w="1083" w:type="dxa"/>
            <w:shd w:val="clear" w:color="auto" w:fill="auto"/>
            <w:noWrap/>
            <w:vAlign w:val="bottom"/>
          </w:tcPr>
          <w:p w14:paraId="409CB027" w14:textId="3EED9277"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Valley</w:t>
            </w:r>
          </w:p>
        </w:tc>
        <w:tc>
          <w:tcPr>
            <w:tcW w:w="989" w:type="dxa"/>
            <w:shd w:val="clear" w:color="auto" w:fill="auto"/>
            <w:noWrap/>
            <w:vAlign w:val="bottom"/>
          </w:tcPr>
          <w:p w14:paraId="561E9472" w14:textId="3B18C47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3734</w:t>
            </w:r>
          </w:p>
        </w:tc>
        <w:tc>
          <w:tcPr>
            <w:tcW w:w="882" w:type="dxa"/>
            <w:shd w:val="clear" w:color="auto" w:fill="auto"/>
            <w:noWrap/>
            <w:vAlign w:val="bottom"/>
          </w:tcPr>
          <w:p w14:paraId="6E31AFCE" w14:textId="4035A58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4.27 </w:t>
            </w:r>
          </w:p>
        </w:tc>
      </w:tr>
      <w:tr w:rsidR="00AA05B0" w:rsidRPr="00426A83" w14:paraId="3E78235D" w14:textId="77777777" w:rsidTr="00AA05B0">
        <w:trPr>
          <w:trHeight w:val="255"/>
        </w:trPr>
        <w:tc>
          <w:tcPr>
            <w:tcW w:w="1083" w:type="dxa"/>
            <w:shd w:val="clear" w:color="auto" w:fill="auto"/>
            <w:noWrap/>
            <w:vAlign w:val="bottom"/>
          </w:tcPr>
          <w:p w14:paraId="2036705B" w14:textId="00F4D561"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Fremont</w:t>
            </w:r>
          </w:p>
        </w:tc>
        <w:tc>
          <w:tcPr>
            <w:tcW w:w="1022" w:type="dxa"/>
            <w:shd w:val="clear" w:color="auto" w:fill="auto"/>
            <w:noWrap/>
            <w:vAlign w:val="bottom"/>
          </w:tcPr>
          <w:p w14:paraId="63811AFD" w14:textId="4BAA919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1896</w:t>
            </w:r>
          </w:p>
        </w:tc>
        <w:tc>
          <w:tcPr>
            <w:tcW w:w="882" w:type="dxa"/>
            <w:shd w:val="clear" w:color="auto" w:fill="auto"/>
            <w:noWrap/>
            <w:vAlign w:val="bottom"/>
          </w:tcPr>
          <w:p w14:paraId="6AF54422" w14:textId="699FB31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83" w:type="dxa"/>
            <w:shd w:val="clear" w:color="auto" w:fill="auto"/>
            <w:noWrap/>
            <w:vAlign w:val="bottom"/>
          </w:tcPr>
          <w:p w14:paraId="5E43BF97" w14:textId="651D0563"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Washington</w:t>
            </w:r>
          </w:p>
        </w:tc>
        <w:tc>
          <w:tcPr>
            <w:tcW w:w="989" w:type="dxa"/>
            <w:shd w:val="clear" w:color="auto" w:fill="auto"/>
            <w:noWrap/>
            <w:vAlign w:val="bottom"/>
          </w:tcPr>
          <w:p w14:paraId="6819EBC7" w14:textId="256487C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1474</w:t>
            </w:r>
          </w:p>
        </w:tc>
        <w:tc>
          <w:tcPr>
            <w:tcW w:w="882" w:type="dxa"/>
            <w:shd w:val="clear" w:color="auto" w:fill="auto"/>
            <w:noWrap/>
            <w:vAlign w:val="bottom"/>
          </w:tcPr>
          <w:p w14:paraId="45772F06" w14:textId="1CB9847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1.68 </w:t>
            </w:r>
          </w:p>
        </w:tc>
      </w:tr>
    </w:tbl>
    <w:p w14:paraId="750F6CBC" w14:textId="77777777" w:rsidR="008622CF" w:rsidRPr="00426A83" w:rsidRDefault="008622CF" w:rsidP="008622CF">
      <w:pPr>
        <w:ind w:left="-720" w:firstLine="720"/>
        <w:rPr>
          <w:color w:val="215868" w:themeColor="accent5" w:themeShade="80"/>
          <w:sz w:val="20"/>
        </w:rPr>
      </w:pPr>
    </w:p>
    <w:p w14:paraId="6BCB6919" w14:textId="77777777" w:rsidR="008622CF" w:rsidRPr="00426A83" w:rsidRDefault="008622CF" w:rsidP="008622CF">
      <w:pPr>
        <w:ind w:left="-720"/>
        <w:rPr>
          <w:color w:val="215868" w:themeColor="accent5" w:themeShade="80"/>
          <w:sz w:val="20"/>
        </w:rPr>
      </w:pPr>
    </w:p>
    <w:p w14:paraId="0E664873" w14:textId="77777777" w:rsidR="00231DFF" w:rsidRPr="00426A83" w:rsidRDefault="00231DFF">
      <w:pPr>
        <w:rPr>
          <w:rFonts w:ascii="Arial" w:hAnsi="Arial" w:cs="Arial"/>
          <w:color w:val="215868" w:themeColor="accent5" w:themeShade="80"/>
          <w:sz w:val="22"/>
          <w:szCs w:val="22"/>
        </w:rPr>
      </w:pPr>
    </w:p>
    <w:sectPr w:rsidR="00231DFF" w:rsidRPr="00426A83"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D4DF" w14:textId="77777777" w:rsidR="00CD7A73" w:rsidRDefault="00CD7A73" w:rsidP="007B35E2">
      <w:r>
        <w:separator/>
      </w:r>
    </w:p>
  </w:endnote>
  <w:endnote w:type="continuationSeparator" w:id="0">
    <w:p w14:paraId="7571BCC6" w14:textId="77777777" w:rsidR="00CD7A73" w:rsidRDefault="00CD7A73"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4F6A" w14:textId="77777777" w:rsidR="00CD7A73" w:rsidRDefault="00CD7A73" w:rsidP="007B35E2">
      <w:r>
        <w:separator/>
      </w:r>
    </w:p>
  </w:footnote>
  <w:footnote w:type="continuationSeparator" w:id="0">
    <w:p w14:paraId="113F0F4B" w14:textId="77777777" w:rsidR="00CD7A73" w:rsidRDefault="00CD7A73"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2019F"/>
    <w:rsid w:val="000210AA"/>
    <w:rsid w:val="000507F5"/>
    <w:rsid w:val="0008058C"/>
    <w:rsid w:val="00100300"/>
    <w:rsid w:val="0012440E"/>
    <w:rsid w:val="00186CBA"/>
    <w:rsid w:val="001B26AE"/>
    <w:rsid w:val="001C2475"/>
    <w:rsid w:val="00205201"/>
    <w:rsid w:val="00231DFF"/>
    <w:rsid w:val="0029217A"/>
    <w:rsid w:val="00295F71"/>
    <w:rsid w:val="002B3DCE"/>
    <w:rsid w:val="002E6F9A"/>
    <w:rsid w:val="00317A7E"/>
    <w:rsid w:val="003203A1"/>
    <w:rsid w:val="00345868"/>
    <w:rsid w:val="003A1717"/>
    <w:rsid w:val="003B45E5"/>
    <w:rsid w:val="00426A83"/>
    <w:rsid w:val="00427A12"/>
    <w:rsid w:val="00442B47"/>
    <w:rsid w:val="00444AD0"/>
    <w:rsid w:val="004C70F5"/>
    <w:rsid w:val="004D1920"/>
    <w:rsid w:val="005170EC"/>
    <w:rsid w:val="005C4074"/>
    <w:rsid w:val="005D41B2"/>
    <w:rsid w:val="00620AE2"/>
    <w:rsid w:val="00645190"/>
    <w:rsid w:val="006545B7"/>
    <w:rsid w:val="00654957"/>
    <w:rsid w:val="006719AC"/>
    <w:rsid w:val="0068152C"/>
    <w:rsid w:val="006B3062"/>
    <w:rsid w:val="006E3107"/>
    <w:rsid w:val="007737FC"/>
    <w:rsid w:val="007B0F19"/>
    <w:rsid w:val="007B35E2"/>
    <w:rsid w:val="007C7859"/>
    <w:rsid w:val="007E0C3A"/>
    <w:rsid w:val="008255CF"/>
    <w:rsid w:val="008452D2"/>
    <w:rsid w:val="008622CF"/>
    <w:rsid w:val="008E40B6"/>
    <w:rsid w:val="009B6D56"/>
    <w:rsid w:val="009C1672"/>
    <w:rsid w:val="009E2248"/>
    <w:rsid w:val="00A0748A"/>
    <w:rsid w:val="00A139C9"/>
    <w:rsid w:val="00A15B1C"/>
    <w:rsid w:val="00A30DFB"/>
    <w:rsid w:val="00A86D10"/>
    <w:rsid w:val="00A97C1E"/>
    <w:rsid w:val="00AA05B0"/>
    <w:rsid w:val="00AC35EB"/>
    <w:rsid w:val="00AD46E0"/>
    <w:rsid w:val="00AF3E73"/>
    <w:rsid w:val="00AF55C1"/>
    <w:rsid w:val="00B5588E"/>
    <w:rsid w:val="00B55A54"/>
    <w:rsid w:val="00B76DC7"/>
    <w:rsid w:val="00BB5782"/>
    <w:rsid w:val="00BB57CD"/>
    <w:rsid w:val="00BD7EDF"/>
    <w:rsid w:val="00BF1E07"/>
    <w:rsid w:val="00C52CDB"/>
    <w:rsid w:val="00C53052"/>
    <w:rsid w:val="00C873CB"/>
    <w:rsid w:val="00CD26FF"/>
    <w:rsid w:val="00CD7A73"/>
    <w:rsid w:val="00CE5A96"/>
    <w:rsid w:val="00D06E62"/>
    <w:rsid w:val="00D573AB"/>
    <w:rsid w:val="00D85926"/>
    <w:rsid w:val="00DA0B9E"/>
    <w:rsid w:val="00DC490E"/>
    <w:rsid w:val="00DE3248"/>
    <w:rsid w:val="00E11B71"/>
    <w:rsid w:val="00E232B4"/>
    <w:rsid w:val="00E53A5F"/>
    <w:rsid w:val="00E835E1"/>
    <w:rsid w:val="00EA239E"/>
    <w:rsid w:val="00EB3D23"/>
    <w:rsid w:val="00EB4CFA"/>
    <w:rsid w:val="00EB6385"/>
    <w:rsid w:val="00ED0361"/>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treatment-publicationtitle">
    <w:name w:val="treatment-publication_title"/>
    <w:basedOn w:val="DefaultParagraphFont"/>
    <w:rsid w:val="00AF55C1"/>
  </w:style>
  <w:style w:type="character" w:customStyle="1" w:styleId="treatment-placeinpublication">
    <w:name w:val="treatment-place_in_publication"/>
    <w:basedOn w:val="DefaultParagraphFont"/>
    <w:rsid w:val="00AF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8630">
      <w:bodyDiv w:val="1"/>
      <w:marLeft w:val="0"/>
      <w:marRight w:val="0"/>
      <w:marTop w:val="0"/>
      <w:marBottom w:val="0"/>
      <w:divBdr>
        <w:top w:val="none" w:sz="0" w:space="0" w:color="auto"/>
        <w:left w:val="none" w:sz="0" w:space="0" w:color="auto"/>
        <w:bottom w:val="none" w:sz="0" w:space="0" w:color="auto"/>
        <w:right w:val="none" w:sz="0" w:space="0" w:color="auto"/>
      </w:divBdr>
      <w:divsChild>
        <w:div w:id="181093057">
          <w:marLeft w:val="0"/>
          <w:marRight w:val="0"/>
          <w:marTop w:val="0"/>
          <w:marBottom w:val="0"/>
          <w:divBdr>
            <w:top w:val="none" w:sz="0" w:space="0" w:color="auto"/>
            <w:left w:val="none" w:sz="0" w:space="0" w:color="auto"/>
            <w:bottom w:val="none" w:sz="0" w:space="0" w:color="auto"/>
            <w:right w:val="none" w:sz="0" w:space="0" w:color="auto"/>
          </w:divBdr>
          <w:divsChild>
            <w:div w:id="1316646776">
              <w:marLeft w:val="0"/>
              <w:marRight w:val="0"/>
              <w:marTop w:val="0"/>
              <w:marBottom w:val="0"/>
              <w:divBdr>
                <w:top w:val="none" w:sz="0" w:space="0" w:color="auto"/>
                <w:left w:val="none" w:sz="0" w:space="0" w:color="auto"/>
                <w:bottom w:val="none" w:sz="0" w:space="0" w:color="auto"/>
                <w:right w:val="none" w:sz="0" w:space="0" w:color="auto"/>
              </w:divBdr>
              <w:divsChild>
                <w:div w:id="430129896">
                  <w:marLeft w:val="0"/>
                  <w:marRight w:val="0"/>
                  <w:marTop w:val="0"/>
                  <w:marBottom w:val="0"/>
                  <w:divBdr>
                    <w:top w:val="none" w:sz="0" w:space="0" w:color="auto"/>
                    <w:left w:val="none" w:sz="0" w:space="0" w:color="auto"/>
                    <w:bottom w:val="none" w:sz="0" w:space="0" w:color="auto"/>
                    <w:right w:val="none" w:sz="0" w:space="0" w:color="auto"/>
                  </w:divBdr>
                  <w:divsChild>
                    <w:div w:id="244539321">
                      <w:marLeft w:val="0"/>
                      <w:marRight w:val="0"/>
                      <w:marTop w:val="0"/>
                      <w:marBottom w:val="0"/>
                      <w:divBdr>
                        <w:top w:val="none" w:sz="0" w:space="0" w:color="auto"/>
                        <w:left w:val="none" w:sz="0" w:space="0" w:color="auto"/>
                        <w:bottom w:val="none" w:sz="0" w:space="0" w:color="auto"/>
                        <w:right w:val="none" w:sz="0" w:space="0" w:color="auto"/>
                      </w:divBdr>
                    </w:div>
                    <w:div w:id="1915121490">
                      <w:marLeft w:val="0"/>
                      <w:marRight w:val="0"/>
                      <w:marTop w:val="0"/>
                      <w:marBottom w:val="0"/>
                      <w:divBdr>
                        <w:top w:val="none" w:sz="0" w:space="0" w:color="auto"/>
                        <w:left w:val="none" w:sz="0" w:space="0" w:color="auto"/>
                        <w:bottom w:val="none" w:sz="0" w:space="0" w:color="auto"/>
                        <w:right w:val="none" w:sz="0" w:space="0" w:color="auto"/>
                      </w:divBdr>
                    </w:div>
                    <w:div w:id="12236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0500">
              <w:marLeft w:val="0"/>
              <w:marRight w:val="0"/>
              <w:marTop w:val="150"/>
              <w:marBottom w:val="150"/>
              <w:divBdr>
                <w:top w:val="none" w:sz="0" w:space="0" w:color="auto"/>
                <w:left w:val="none" w:sz="0" w:space="0" w:color="auto"/>
                <w:bottom w:val="single" w:sz="6" w:space="0" w:color="A2A9B1"/>
                <w:right w:val="none" w:sz="0" w:space="0" w:color="auto"/>
              </w:divBdr>
              <w:divsChild>
                <w:div w:id="1994333188">
                  <w:marLeft w:val="0"/>
                  <w:marRight w:val="0"/>
                  <w:marTop w:val="0"/>
                  <w:marBottom w:val="0"/>
                  <w:divBdr>
                    <w:top w:val="none" w:sz="0" w:space="0" w:color="auto"/>
                    <w:left w:val="none" w:sz="0" w:space="0" w:color="auto"/>
                    <w:bottom w:val="none" w:sz="0" w:space="0" w:color="auto"/>
                    <w:right w:val="none" w:sz="0" w:space="0" w:color="auto"/>
                  </w:divBdr>
                </w:div>
                <w:div w:id="385177953">
                  <w:marLeft w:val="0"/>
                  <w:marRight w:val="0"/>
                  <w:marTop w:val="0"/>
                  <w:marBottom w:val="0"/>
                  <w:divBdr>
                    <w:top w:val="none" w:sz="0" w:space="0" w:color="auto"/>
                    <w:left w:val="none" w:sz="0" w:space="0" w:color="auto"/>
                    <w:bottom w:val="none" w:sz="0" w:space="0" w:color="auto"/>
                    <w:right w:val="none" w:sz="0" w:space="0" w:color="auto"/>
                  </w:divBdr>
                  <w:divsChild>
                    <w:div w:id="11366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3084">
              <w:marLeft w:val="0"/>
              <w:marRight w:val="0"/>
              <w:marTop w:val="0"/>
              <w:marBottom w:val="0"/>
              <w:divBdr>
                <w:top w:val="none" w:sz="0" w:space="0" w:color="auto"/>
                <w:left w:val="none" w:sz="0" w:space="0" w:color="auto"/>
                <w:bottom w:val="none" w:sz="0" w:space="0" w:color="auto"/>
                <w:right w:val="none" w:sz="0" w:space="0" w:color="auto"/>
              </w:divBdr>
              <w:divsChild>
                <w:div w:id="146676988">
                  <w:marLeft w:val="0"/>
                  <w:marRight w:val="0"/>
                  <w:marTop w:val="0"/>
                  <w:marBottom w:val="150"/>
                  <w:divBdr>
                    <w:top w:val="none" w:sz="0" w:space="0" w:color="auto"/>
                    <w:left w:val="none" w:sz="0" w:space="0" w:color="auto"/>
                    <w:bottom w:val="none" w:sz="0" w:space="0" w:color="auto"/>
                    <w:right w:val="none" w:sz="0" w:space="0" w:color="auto"/>
                  </w:divBdr>
                </w:div>
                <w:div w:id="1973248818">
                  <w:marLeft w:val="0"/>
                  <w:marRight w:val="0"/>
                  <w:marTop w:val="0"/>
                  <w:marBottom w:val="0"/>
                  <w:divBdr>
                    <w:top w:val="none" w:sz="0" w:space="0" w:color="auto"/>
                    <w:left w:val="none" w:sz="0" w:space="0" w:color="auto"/>
                    <w:bottom w:val="none" w:sz="0" w:space="0" w:color="auto"/>
                    <w:right w:val="none" w:sz="0" w:space="0" w:color="auto"/>
                  </w:divBdr>
                </w:div>
                <w:div w:id="615716279">
                  <w:marLeft w:val="0"/>
                  <w:marRight w:val="0"/>
                  <w:marTop w:val="0"/>
                  <w:marBottom w:val="150"/>
                  <w:divBdr>
                    <w:top w:val="none" w:sz="0" w:space="0" w:color="auto"/>
                    <w:left w:val="none" w:sz="0" w:space="0" w:color="auto"/>
                    <w:bottom w:val="none" w:sz="0" w:space="0" w:color="auto"/>
                    <w:right w:val="none" w:sz="0" w:space="0" w:color="auto"/>
                  </w:divBdr>
                  <w:divsChild>
                    <w:div w:id="610092792">
                      <w:marLeft w:val="0"/>
                      <w:marRight w:val="0"/>
                      <w:marTop w:val="0"/>
                      <w:marBottom w:val="0"/>
                      <w:divBdr>
                        <w:top w:val="none" w:sz="0" w:space="0" w:color="auto"/>
                        <w:left w:val="none" w:sz="0" w:space="0" w:color="auto"/>
                        <w:bottom w:val="none" w:sz="0" w:space="0" w:color="auto"/>
                        <w:right w:val="none" w:sz="0" w:space="0" w:color="auto"/>
                      </w:divBdr>
                    </w:div>
                  </w:divsChild>
                </w:div>
                <w:div w:id="493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974">
          <w:marLeft w:val="0"/>
          <w:marRight w:val="0"/>
          <w:marTop w:val="0"/>
          <w:marBottom w:val="0"/>
          <w:divBdr>
            <w:top w:val="none" w:sz="0" w:space="0" w:color="auto"/>
            <w:left w:val="none" w:sz="0" w:space="0" w:color="auto"/>
            <w:bottom w:val="none" w:sz="0" w:space="0" w:color="auto"/>
            <w:right w:val="none" w:sz="0" w:space="0" w:color="auto"/>
          </w:divBdr>
          <w:divsChild>
            <w:div w:id="703336245">
              <w:marLeft w:val="0"/>
              <w:marRight w:val="0"/>
              <w:marTop w:val="0"/>
              <w:marBottom w:val="0"/>
              <w:divBdr>
                <w:top w:val="none" w:sz="0" w:space="0" w:color="auto"/>
                <w:left w:val="none" w:sz="0" w:space="0" w:color="auto"/>
                <w:bottom w:val="none" w:sz="0" w:space="0" w:color="auto"/>
                <w:right w:val="none" w:sz="0" w:space="0" w:color="auto"/>
              </w:divBdr>
              <w:divsChild>
                <w:div w:id="2731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wherbaria.org/data/search.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serve.org/publications/ConsStatusAssess_RankCalculator-v2.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erve.org/explor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eserve.org/explor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flo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69053-6596-4D7E-8EC3-A8E54AF8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2</cp:revision>
  <dcterms:created xsi:type="dcterms:W3CDTF">2022-02-10T18:02:00Z</dcterms:created>
  <dcterms:modified xsi:type="dcterms:W3CDTF">2022-02-10T18:02:00Z</dcterms:modified>
</cp:coreProperties>
</file>